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указанных в заявке на подключение пользов</w:t>
      </w:r>
      <w:r>
        <w:rPr>
          <w:rFonts w:ascii="Times New Roman" w:hAnsi="Times New Roman"/>
          <w:sz w:val="28"/>
          <w:szCs w:val="28"/>
        </w:rPr>
        <w:t xml:space="preserve">ателей перечню ролей доступа, настроенных для работы в модуле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A0" w:firstRow="1" w:lastRow="0" w:firstColumn="1" w:lastColumn="0" w:noHBand="0" w:noVBand="0"/>
      </w:tblPr>
      <w:tblGrid>
        <w:gridCol w:w="840"/>
        <w:gridCol w:w="4990"/>
        <w:gridCol w:w="2235"/>
        <w:gridCol w:w="6636"/>
      </w:tblGrid>
      <w:tr>
        <w:tblPrEx/>
        <w:trPr>
          <w:cantSplit/>
          <w:jc w:val="center"/>
          <w:trHeight w:val="715"/>
          <w:tblHeader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№ п/п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Полномочие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Роль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Код роли доступа в системе «Электронный бюджет»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</w:tr>
      <w:tr>
        <w:tblPrEx/>
        <w:trPr>
          <w:cantSplit/>
          <w:jc w:val="center"/>
          <w:trHeight w:val="1242" w:hRule="exact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Для сотрудников территориальных органов Федерального казначейства, Межрегиональных управлений Федерального казначейства, Федерального казенного учреждения «Центр по обеспечению деятел</w:t>
            </w:r>
            <w:r>
              <w:rPr>
                <w:rFonts w:ascii="Times New Roman" w:hAnsi="Times New Roman"/>
                <w:b/>
                <w:sz w:val="24"/>
              </w:rPr>
              <w:t xml:space="preserve">ьности Казначейства России» и его филиалов, обеспечивающих функции по ведению учета и формированию отчетности организаций, передавших полномочия</w:t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blPrEx/>
        <w:trPr>
          <w:cantSplit/>
          <w:jc w:val="center"/>
          <w:trHeight w:val="970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  <w:t xml:space="preserve"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ind w:left="34"/>
              <w:jc w:val="left"/>
              <w:keepNext/>
              <w:spacing w:after="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УНФА_УИО Формирование бухгалтерских проводок и обработка документов сотрудник ЦБ ввод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984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pStyle w:val="937"/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vanish/>
                <w:spacing w:val="6"/>
                <w:sz w:val="24"/>
              </w:rPr>
            </w:pPr>
            <w:r>
              <w:rPr>
                <w:rFonts w:ascii="Times New Roman" w:hAnsi="Times New Roman"/>
                <w:vanish/>
                <w:spacing w:val="6"/>
                <w:sz w:val="24"/>
              </w:rPr>
            </w:r>
            <w:r>
              <w:rPr>
                <w:rFonts w:ascii="Times New Roman" w:hAnsi="Times New Roman"/>
                <w:vanish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ind w:left="34"/>
              <w:jc w:val="left"/>
              <w:keepNext/>
              <w:spacing w:after="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УНФА_УИО Формирование бухгалтерских проводок и обработка документов сотрудник ЦБ согласование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shd w:val="clear" w:color="auto" w:fill="auto"/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Главный бухгалтер.</w:t>
            </w:r>
            <w:r>
              <w:rPr>
                <w:rFonts w:ascii="Times New Roman" w:hAnsi="Times New Roman"/>
                <w:b/>
                <w:spacing w:val="6"/>
                <w:sz w:val="24"/>
                <w:vertAlign w:val="superscript"/>
              </w:rPr>
              <w:t xml:space="preserve">1</w:t>
            </w:r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  <w:t xml:space="preserve"> 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after="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УНФА_УИО Формирование бухгалтерских проводок и обработка документов сотрудник ЦБ утверждение гл. бухгалтер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документов по учету операций по предоставлению бюджетных кредитов 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сотрудник ЦБ ввод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  <w:p>
            <w:pPr>
              <w:pStyle w:val="1149"/>
              <w:jc w:val="left"/>
              <w:keepNext/>
              <w:spacing w:after="0" w:line="240" w:lineRule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after="0" w:line="240" w:lineRule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сотрудник ЦБ согласование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Главный бухгалтер.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_Ref61854081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1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предоставлению бюджетных кредитов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сотрудник ЦБ утверждение гл. бухгалтер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Формирование документов по учету операций по управлению остатками средств на едином счете федерального бюджета (ЦБ)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сотрудник ЦБ ввод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сотрудник ЦБ согласование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 xml:space="preserve">Главный бухгалтер.</w:t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instrText xml:space="preserve"> NOTEREF _Ref61854081 \f  \* MERGEFORMAT </w:instrText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1</w:t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fldChar w:fldCharType="end"/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 Формирование документов по учету операций по управлению остатками средств на едином счете федерального бюджета (ЦБ)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ФБ сотрудник ЦБ утверждение гл. б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ухгалтер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Формирование документов по учету операций по учету операций по компенсационным выплатам по вкладам (взносам) в организациях государственного страхования (ЦБ)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в организациях государственного страхования сотрудник ЦБ ввод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в организациях государственного страхования сотрудник ЦБ согласование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Закрепление сотрудников ОЦБ за организациями, передавшими полномочия по ведению учета и формированию отчетности.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УНФА_УИО Установка учреждений Администратор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Локальная настройка, подготовка и подключение интеграций с другими подсистемами, а также внешними информационными системами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 Локальный администратор ЦБ ввод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98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 ЦБ.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централизованной бухгалтерии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централизованной бухгалтерии сотрудников ЦБ утверждение руководитель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817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Редактирование справочника участков учета и пользователей по участкам учета.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отчетов по анализу задач исполнителей.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vMerge w:val="restart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Редактирование участков учета и пользователей по участкам учета и формирование отчетов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701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vMerge w:val="continue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701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или проверка и согласование документа "Карточка учет</w:t>
            </w:r>
            <w:bookmarkStart w:id="0" w:name="_GoBack"/>
            <w:r/>
            <w:bookmarkEnd w:id="0"/>
            <w:r>
              <w:rPr>
                <w:rFonts w:ascii="Times New Roman" w:hAnsi="Times New Roman"/>
                <w:spacing w:val="6"/>
                <w:sz w:val="24"/>
              </w:rPr>
              <w:t xml:space="preserve">а первичных документов" с вложенными сканами первичных документов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vMerge w:val="restart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формирование_согласование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документа Карточка учета первичного документа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701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vMerge w:val="continue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trHeight w:val="860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Голосование за резолюцию в документах, требующих комиссионного решения сотрудникам ЦБ, включенным в комиссию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23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/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vMerge w:val="restart"/>
            <w:textDirection w:val="lrTb"/>
            <w:noWrap w:val="false"/>
          </w:tcPr>
          <w:p>
            <w:pPr>
              <w:pStyle w:val="1149"/>
              <w:ind w:left="34"/>
              <w:jc w:val="left"/>
              <w:keepNext/>
              <w:spacing w:after="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УНФА_УИО Голосование за резолюцию по комиссионному решению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018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pStyle w:val="1149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b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ru-RU" w:eastAsia="ru-RU"/>
              </w:rPr>
              <w:t xml:space="preserve">Для сотрудников Федеральных органов исполнительной власти (далее – ФОИВ), территориальных органов ФОИВ и подведомственных Федеральных казенных учреждений, передавших полномочия по ведению бюджетного учета</w:t>
            </w:r>
            <w:r>
              <w:rPr>
                <w:rFonts w:ascii="Times New Roman" w:hAnsi="Times New Roman"/>
                <w:b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775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spacing w:after="120" w:line="240" w:lineRule="atLeast"/>
              <w:tabs>
                <w:tab w:val="left" w:pos="22" w:leader="none"/>
              </w:tabs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УиО</w:t>
            </w:r>
            <w:r>
              <w:rPr>
                <w:rFonts w:ascii="Times New Roman" w:hAnsi="Times New Roman"/>
                <w:sz w:val="24"/>
              </w:rPr>
              <w:t xml:space="preserve"> Формирование документ</w:t>
            </w:r>
            <w:r>
              <w:rPr>
                <w:rFonts w:ascii="Times New Roman" w:hAnsi="Times New Roman"/>
                <w:sz w:val="24"/>
              </w:rPr>
              <w:t xml:space="preserve">ов по разделу санкционирования c ЦБ ввод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855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УиО</w:t>
            </w:r>
            <w:r>
              <w:rPr>
                <w:rFonts w:ascii="Times New Roman" w:hAnsi="Times New Roman"/>
                <w:sz w:val="24"/>
              </w:rPr>
              <w:t xml:space="preserve"> Формирование документов по разделу санкционирования c ЦБ согласование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623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Руководитель.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</w:p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</w:p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УиО</w:t>
            </w:r>
            <w:r>
              <w:rPr>
                <w:rFonts w:ascii="Times New Roman" w:hAnsi="Times New Roman"/>
                <w:sz w:val="24"/>
              </w:rPr>
              <w:t xml:space="preserve"> Формирование докум</w:t>
            </w:r>
            <w:r>
              <w:rPr>
                <w:rFonts w:ascii="Times New Roman" w:hAnsi="Times New Roman"/>
                <w:sz w:val="24"/>
              </w:rPr>
              <w:t xml:space="preserve">ентов по разделу санкционирования с ЦБ утверждение руководитель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385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Формирование документов по учету движения наличных денежных средств и авансовых отчетов.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УиО</w:t>
            </w:r>
            <w:r>
              <w:rPr>
                <w:rFonts w:ascii="Times New Roman" w:hAnsi="Times New Roman"/>
                <w:sz w:val="24"/>
              </w:rPr>
              <w:t xml:space="preserve"> Формирование кассовых документов и авансовых отчетов c ЦБ ввод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411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УиО</w:t>
            </w:r>
            <w:r>
              <w:rPr>
                <w:rFonts w:ascii="Times New Roman" w:hAnsi="Times New Roman"/>
                <w:sz w:val="24"/>
              </w:rPr>
              <w:t xml:space="preserve"> Формирование кассовых документов и авансовых отчетов c ЦБ согласование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1024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Формирование документов по учету движения наличных денежных средств и авансовых отчетов.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УиО</w:t>
            </w:r>
            <w:r>
              <w:rPr>
                <w:rFonts w:ascii="Times New Roman" w:hAnsi="Times New Roman"/>
                <w:sz w:val="24"/>
              </w:rPr>
              <w:t xml:space="preserve"> Формирование кассовых документов и авансовых отчетов с ЦБ утверждение руководитель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1214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исключением операций, формируемых в модуле учета начислений ГИИС Электронный бюджет).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УиО</w:t>
            </w:r>
            <w:r>
              <w:rPr>
                <w:rFonts w:ascii="Times New Roman" w:hAnsi="Times New Roman"/>
                <w:sz w:val="24"/>
              </w:rPr>
              <w:t xml:space="preserve"> Формирование документов по администрированию доходов c ЦБ ввод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1132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УиО</w:t>
            </w:r>
            <w:r>
              <w:rPr>
                <w:rFonts w:ascii="Times New Roman" w:hAnsi="Times New Roman"/>
                <w:sz w:val="24"/>
              </w:rPr>
              <w:t xml:space="preserve"> Формирование документов по администрированию доходов c ЦБ согласование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уемых в модуле учета начислений ГИИС Электронный бюджет).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администрированию доходов с ЦБ утверждение руководитель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Формирование, проверка и подписание документов по учету операций по предоставлению бюджетных кредитов.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 ЦБ ввод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 ЦБ согласование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Главный бухгалтер.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Формирование, проверка и подписание документов по учету операций по предоставлению бюджетных кредитов.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 ЦБ утверждение гл. бухгалтер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sz w:val="24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предоставлению бюджетных кредитов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 ЦБ утверждение руководитель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документов по учету операций по управлению остатками средств на едином счете федерального бюджета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с ЦБ ввод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с ЦБ согласование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Главный бухгалтер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. Формирование документов по учету операций по управлению остатками средств на едином счете федерального бюджета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с ЦБ утверждение главный бухгалтер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управлению остатками средств на едином счете федерального бюджета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с ЦБ утверждение 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руководитель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документов по учету операций по компенсационным выплатам по вкладам (взносам) в организациях государственного страхования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по вкладам (взносам) в организациях государственного страхования с ЦБ ввод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highlight w:val="yellow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в организациях го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сударственного страхования с ЦБ согласование</w:t>
            </w:r>
            <w:r>
              <w:rPr>
                <w:rFonts w:ascii="Times New Roman" w:hAnsi="Times New Roman"/>
                <w:sz w:val="24"/>
                <w:szCs w:val="20"/>
                <w:highlight w:val="yellow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Главный бухгалтер.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учету операций по компенсационным выплатам по вкладам (взносам) в организациях государственного страхования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в организациях государственного страхования с ЦБ утверждение гл. бухгалтер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документов по учету операций по компенсационным выплатам по вкладам (взносам) в организациях государственного страхования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в организациях государственного стр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ахования с ЦБ утверждение руководитель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документов о командировании для учреждения, осуществляющего финансовое обеспечение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Решение о командировании c ЦБ согласование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(проверка) Отчета о расходах подотчетного лица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Отчета о расходах подотчётного лица с ЦБ согласование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документов по командированию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 Формирование документов по командированию с ЦБ утверждение руководитель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  <w:vertAlign w:val="superscript"/>
              </w:rPr>
              <w:t xml:space="preserve">4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документов о командировании для учреждения, осуществляющего финансовое обеспечение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командирова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нию для учреждения, осуществляющего финансовое обеспечение с ЦБ согласование руководитель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Делегирование полномочий формирования документов по командированию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Локальный администратор учреждения в управлении командированием с ЦБ ввод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6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b/>
                <w:bCs/>
                <w:sz w:val="24"/>
                <w:shd w:val="clear" w:color="auto" w:fill="ffffff"/>
                <w:vertAlign w:val="superscript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Ведение локальных справочников для ФОИВ и подведомственных ему учреждений.</w:t>
            </w:r>
            <w:r>
              <w:rPr>
                <w:rFonts w:ascii="Times New Roman" w:hAnsi="Times New Roman"/>
                <w:b/>
                <w:spacing w:val="6"/>
                <w:sz w:val="24"/>
                <w:szCs w:val="14"/>
                <w:vertAlign w:val="superscript"/>
              </w:rPr>
              <w:t xml:space="preserve">3</w:t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  <w:vertAlign w:val="superscript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УИО Ведение справочников подсистемы по своей главе с ЦБ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10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Размещение реестров в органайзере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Загрузка файлов в органайзер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994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бухгалтерского учета, формирование отчетов, просмотр поступивших задач пользователей учреждения.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УНФА_УиО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Просмотр документов бухгалтерского учета, формирование отчетов, просмотр поступивших задач пользователей учреждения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994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бухгалтерского учета в конечном статусе документа, формирование отчетов, просмотр поступивших задач пользователей учреждения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УНФА_УИО Просмотр документов бухгалтерского учета, формирование отчетов, просмотр поступивших задач по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льзователей учреждения в конечном статусе документа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994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2"/>
                <w:szCs w:val="20"/>
                <w:lang w:eastAsia="ru-RU"/>
              </w:rPr>
              <w:t xml:space="preserve">Проверка на корректность оформления документов «Заявка-обоснование закупки товаров» ответственным лицом контрактной службы организации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Согласование документов расчетов с подотчетными лицами 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Отв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994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2"/>
                <w:szCs w:val="20"/>
                <w:lang w:eastAsia="ru-RU"/>
              </w:rPr>
              <w:t xml:space="preserve">Проверка на корректность оформления документов «Заявка-обоснование закупки товаров», «Отчет о расходах подотчетного лица» руководителем структурного подразделения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Согласовани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е документов расчетов с подотчетными лицами 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РукСтр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994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2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2"/>
                <w:szCs w:val="20"/>
                <w:lang w:eastAsia="ru-RU"/>
              </w:rPr>
              <w:t xml:space="preserve">Формирование документа «Решение о компенсации расходов для лиц, работающих в районах Крайнего Севера»</w:t>
            </w:r>
            <w:r>
              <w:rPr>
                <w:rStyle w:val="1150"/>
                <w:rFonts w:ascii="Times New Roman" w:hAnsi="Times New Roman"/>
                <w:b w:val="0"/>
                <w:sz w:val="22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Формирование документов Решение о компенсации расходов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696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2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2"/>
                <w:szCs w:val="20"/>
                <w:lang w:eastAsia="ru-RU"/>
              </w:rPr>
              <w:t xml:space="preserve">Загрузка данных в целях их размещения в подсистеме информационно-аналитического обеспечения </w:t>
            </w:r>
            <w:r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 xml:space="preserve">ГИИС Электронный бюджет</w:t>
            </w:r>
            <w:r>
              <w:rPr>
                <w:rStyle w:val="1150"/>
                <w:rFonts w:ascii="Times New Roman" w:hAnsi="Times New Roman"/>
                <w:b w:val="0"/>
                <w:sz w:val="22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vMerge w:val="restart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УиО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Передача данных ГК/НФА/ДКЗ в ПИАО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547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2"/>
                <w:szCs w:val="20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2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vMerge w:val="continue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54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Голосование за резолюцию по комиссионному решению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УНФА_УиО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 Голосование за резолюцию по комиссионному решению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54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Утверждение результатов голосования комиссии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УНФА_УиО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 Утверждение результатов голосования комиссии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54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Формирование документов по решению комиссии, управление ходом голосования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УНФА_УиО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 Формирование документов по решению комиссии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547"/>
        </w:trPr>
        <w:tc>
          <w:tcPr>
            <w:tcW w:w="28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b w:val="0"/>
                <w:bCs w:val="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  <w:lang w:eastAsia="ru-RU"/>
              </w:rPr>
              <w:t xml:space="preserve">Утверждение документов по НФА лицом, уполномоченным Руководителем</w:t>
            </w:r>
            <w:r>
              <w:rPr>
                <w:rStyle w:val="1150"/>
                <w:b w:val="0"/>
                <w:bCs w:val="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spacing w:val="6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Утверждение</w:t>
            </w:r>
            <w:r>
              <w:rPr>
                <w:spacing w:val="6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Style w:val="1150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УиО</w:t>
            </w:r>
            <w:r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Утверждение документов НФА с ЦБ утверждение уполномоченное лицо</w:t>
            </w:r>
            <w:r>
              <w:rPr>
                <w:rStyle w:val="1150"/>
                <w:b w:val="0"/>
                <w:bCs w:val="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jc w:val="center"/>
          <w:trHeight w:val="547"/>
        </w:trPr>
        <w:tc>
          <w:tcPr>
            <w:tcW w:w="286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  <w:lang w:eastAsia="ru-RU"/>
              </w:rPr>
              <w:t xml:space="preserve">Создание документа "</w:t>
            </w:r>
            <w:r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  <w:lang w:eastAsia="ru-RU"/>
              </w:rPr>
              <w:t xml:space="preserve">Карточка учета первичных документов" с вложенными сканами первичных документов на стороне субъекта учета</w:t>
            </w:r>
            <w:r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257" w:type="pct"/>
            <w:vAlign w:val="center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УиО</w:t>
            </w:r>
            <w:r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Создание документа Карточка учета первичного документа</w:t>
            </w:r>
            <w:r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  <w:jc w:val="center"/>
          <w:trHeight w:val="547"/>
        </w:trPr>
        <w:tc>
          <w:tcPr>
            <w:tcW w:w="286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257" w:type="pct"/>
            <w:vAlign w:val="center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r>
            <w:r>
              <w:rPr>
                <w:rStyle w:val="1150"/>
                <w:rFonts w:ascii="Times New Roman" w:hAnsi="Times New Roman"/>
                <w:b w:val="0"/>
                <w:bCs w:val="0"/>
                <w:sz w:val="24"/>
                <w:szCs w:val="24"/>
              </w:rPr>
            </w:r>
          </w:p>
        </w:tc>
      </w:tr>
    </w:tbl>
    <w:p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</w:t>
      </w:r>
      <w:r>
        <w:rPr>
          <w:rFonts w:ascii="Times New Roman" w:hAnsi="Times New Roman"/>
          <w:sz w:val="28"/>
          <w:szCs w:val="28"/>
        </w:rPr>
        <w:t xml:space="preserve">ий, указанных в заявке на подключение пользователей перечню ролей доступа, настроенных для работы в подсистеме управления нефинансовыми активами государственной интегрированной информационной системы управления общественными финансами «Электронный бюджет».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A0" w:firstRow="1" w:lastRow="0" w:firstColumn="1" w:lastColumn="0" w:noHBand="0" w:noVBand="0"/>
      </w:tblPr>
      <w:tblGrid>
        <w:gridCol w:w="846"/>
        <w:gridCol w:w="4984"/>
        <w:gridCol w:w="2235"/>
        <w:gridCol w:w="6636"/>
      </w:tblGrid>
      <w:tr>
        <w:tblPrEx/>
        <w:trPr>
          <w:cantSplit/>
          <w:jc w:val="center"/>
          <w:trHeight w:val="477"/>
          <w:tblHeader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№ п/п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Полномочие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Роль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Код роли доступа в системе «Электронный бюджет»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</w:tr>
      <w:tr>
        <w:tblPrEx/>
        <w:trPr>
          <w:cantSplit/>
          <w:jc w:val="center"/>
          <w:trHeight w:val="964" w:hRule="exact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Для сотрудников Федеральных органов исполнительной власти (далее – ФОИВ), территориальных органов ФОИВ и подведомственных Федеральных казенных учреждений, передавших полномочия по ведению бюджетного учета</w:t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blPrEx/>
        <w:trPr>
          <w:cantSplit/>
          <w:jc w:val="center"/>
          <w:trHeight w:val="433"/>
        </w:trPr>
        <w:tc>
          <w:tcPr>
            <w:tcW w:w="288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первичных документов учета нефинансовых активов, выполнения работ, оказания услуг.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УНФА Формирование первичных документов c ЦБ ввод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816"/>
        </w:trPr>
        <w:tc>
          <w:tcPr>
            <w:tcW w:w="288" w:type="pct"/>
            <w:vAlign w:val="center"/>
            <w:vMerge w:val="continue"/>
            <w:textDirection w:val="lrTb"/>
            <w:noWrap w:val="false"/>
          </w:tcPr>
          <w:p>
            <w:pPr>
              <w:pStyle w:val="937"/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vanish/>
                <w:spacing w:val="6"/>
                <w:sz w:val="24"/>
              </w:rPr>
            </w:pPr>
            <w:r>
              <w:rPr>
                <w:rFonts w:ascii="Times New Roman" w:hAnsi="Times New Roman"/>
                <w:vanish/>
                <w:spacing w:val="6"/>
                <w:sz w:val="24"/>
              </w:rPr>
            </w:r>
            <w:r>
              <w:rPr>
                <w:rFonts w:ascii="Times New Roman" w:hAnsi="Times New Roman"/>
                <w:vanish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УНФА Формирование первичных документов c ЦБ согласование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960"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spacing w:after="120" w:line="240" w:lineRule="atLeast"/>
              <w:tabs>
                <w:tab w:val="left" w:pos="22" w:leader="none"/>
              </w:tabs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textDirection w:val="lrTb"/>
            <w:noWrap w:val="false"/>
          </w:tcPr>
          <w:p>
            <w:pPr>
              <w:pStyle w:val="1149"/>
              <w:ind w:right="142"/>
              <w:jc w:val="both"/>
              <w:keepNext/>
              <w:spacing w:before="120" w:after="120" w:line="240" w:lineRule="auto"/>
              <w:shd w:val="clear" w:color="auto" w:fill="auto"/>
              <w:widowControl/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  <w:szCs w:val="20"/>
                <w:lang w:val="ru-RU" w:eastAsia="ru-RU"/>
              </w:rPr>
              <w:t xml:space="preserve"> Формирование первичных документов учета нефинансовых активов, выполнения работ, оказания услуг.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УНФА Формирование первичных документов с ЦБ утверждение руководитель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569"/>
        </w:trPr>
        <w:tc>
          <w:tcPr>
            <w:tcW w:w="288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spacing w:after="120" w:line="240" w:lineRule="atLeast"/>
              <w:tabs>
                <w:tab w:val="left" w:pos="22" w:leader="none"/>
              </w:tabs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vMerge w:val="restart"/>
            <w:textDirection w:val="lrTb"/>
            <w:noWrap w:val="false"/>
          </w:tcPr>
          <w:p>
            <w:pPr>
              <w:pStyle w:val="1149"/>
              <w:ind w:right="141"/>
              <w:jc w:val="both"/>
              <w:keepNext/>
              <w:spacing w:after="0" w:line="240" w:lineRule="auto"/>
              <w:shd w:val="clear" w:color="auto" w:fill="auto"/>
              <w:widowControl/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r>
          </w:p>
          <w:p>
            <w:pPr>
              <w:jc w:val="both"/>
              <w:spacing w:after="120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УНФА. Формирование документов по проведению инвентаризаций нефинансовых активов c ЦБ ввод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28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УНФА. Формирование документов по проведению инвентаризаций нефинансовых активов c ЦБ согласование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1034"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textDirection w:val="lrTb"/>
            <w:noWrap w:val="false"/>
          </w:tcPr>
          <w:p>
            <w:pPr>
              <w:pStyle w:val="1149"/>
              <w:ind w:right="142"/>
              <w:jc w:val="both"/>
              <w:keepNext/>
              <w:spacing w:after="0" w:line="240" w:lineRule="auto"/>
              <w:shd w:val="clear" w:color="auto" w:fill="auto"/>
              <w:widowControl/>
              <w:rPr>
                <w:rFonts w:ascii="Times New Roman" w:hAnsi="Times New Roman"/>
                <w:bCs/>
                <w:sz w:val="24"/>
                <w:szCs w:val="20"/>
                <w:shd w:val="clear" w:color="auto" w:fill="ffffff"/>
                <w:lang w:val="ru-RU"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 xml:space="preserve">NOTEREF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_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 xml:space="preserve">Ref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61853885 \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 xml:space="preserve">f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 \*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 xml:space="preserve">MERGEFORMAT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  <w:szCs w:val="20"/>
                <w:lang w:val="ru-RU" w:eastAsia="ru-RU"/>
              </w:rPr>
              <w:t xml:space="preserve"> 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rFonts w:ascii="Times New Roman" w:hAnsi="Times New Roman"/>
                <w:bCs/>
                <w:sz w:val="24"/>
                <w:szCs w:val="20"/>
                <w:shd w:val="clear" w:color="auto" w:fill="ffffff"/>
                <w:lang w:val="ru-RU"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УНФА Формирование документов по проведению инвентаризаций с ЦБ утверждение руководитель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948"/>
        </w:trPr>
        <w:tc>
          <w:tcPr>
            <w:tcW w:w="288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Комиссия по приему и списанию нефинансовых активов.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УНФА Комиссия по приему и списанию нефинансовых активов c ЦБ ввод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1107"/>
        </w:trPr>
        <w:tc>
          <w:tcPr>
            <w:tcW w:w="28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УНФА Комиссия по приему и списанию нефинансовых активов c ЦБ согласование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1298"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Комиссия по приему и списанию нефинансовых активов.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УНФА Комиссия по приему и списанию НФА с ЦБ утверждение руководитель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759"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Ведение локальных справочников для ФОИВ и подведомственных ему учреждений.</w:t>
            </w:r>
            <w:r>
              <w:rPr>
                <w:rFonts w:ascii="Times New Roman" w:hAnsi="Times New Roman"/>
                <w:b/>
                <w:sz w:val="24"/>
              </w:rPr>
              <w:fldChar w:fldCharType="begin"/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instrText xml:space="preserve"> NOTEREF _Ref61854582 \f  \* MERGEFORMAT </w:instrText>
            </w:r>
            <w:r>
              <w:rPr>
                <w:rFonts w:ascii="Times New Roman" w:hAnsi="Times New Roman"/>
                <w:b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sz w:val="24"/>
              </w:rPr>
              <w:t xml:space="preserve">3</w:t>
            </w:r>
            <w:r>
              <w:rPr>
                <w:rFonts w:ascii="Times New Roman" w:hAnsi="Times New Roman"/>
                <w:b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УНФА Ведение справочников подсистемы по своей главе с ЦБ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rPr>
                <w:rStyle w:val="1150"/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Для сотрудников Счетной палаты</w:t>
            </w:r>
            <w:r>
              <w:rPr>
                <w:rStyle w:val="1150"/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Счетной палаты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 xml:space="preserve">6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jc w:val="center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УНФА_УИО Просмотр документов счетной палатой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  <w:p>
            <w:pPr>
              <w:jc w:val="center"/>
              <w:spacing w:after="120"/>
              <w:rPr>
                <w:rStyle w:val="1150"/>
                <w:rFonts w:ascii="Times New Roman" w:hAnsi="Times New Roman"/>
                <w:bCs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Cs w:val="0"/>
                <w:sz w:val="24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Cs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rPr>
                <w:rStyle w:val="1150"/>
                <w:rFonts w:ascii="Times New Roman" w:hAnsi="Times New Roman"/>
                <w:b w:val="0"/>
                <w:sz w:val="24"/>
                <w:szCs w:val="24"/>
                <w:highlight w:val="yellow"/>
                <w:lang w:eastAsia="ru-RU"/>
              </w:rPr>
            </w:pPr>
            <w:r>
              <w:rPr>
                <w:rStyle w:val="1150"/>
                <w:rFonts w:ascii="Times New Roman" w:hAnsi="Times New Roman"/>
                <w:sz w:val="24"/>
                <w:szCs w:val="24"/>
                <w:lang w:eastAsia="ru-RU"/>
              </w:rPr>
              <w:t xml:space="preserve">Для сотрудников проверяющих органов, на которые возложены контролирующие функции в соответствии с законодательством Российской Федерации 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highlight w:val="yellow"/>
                <w:lang w:eastAsia="ru-RU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проверяющих органов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 xml:space="preserve">5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УНФА_УИО Просмотр документов проверяющими органами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  <w:p>
            <w:pPr>
              <w:jc w:val="center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rPr>
                <w:rStyle w:val="1150"/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Для сотрудников организа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ций, имеющих территориальные органы и/или подведомственные учреждения (на период проведения камеральной проверки при наличии приказа о проверке)</w:t>
            </w:r>
            <w:r>
              <w:rPr>
                <w:rStyle w:val="1150"/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УНФА_УИО Просмотр документов подведомственных организаций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 в конечном статусе (ФОИВ)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  <w:p>
            <w:pP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Согласование документов подведомственных учреждений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textDirection w:val="lrTb"/>
            <w:noWrap w:val="false"/>
          </w:tcPr>
          <w:p>
            <w:pPr>
              <w:jc w:val="center"/>
              <w:spacing w:after="120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  <w:p>
            <w:pPr>
              <w:jc w:val="center"/>
              <w:spacing w:after="120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Согласование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2257" w:type="pc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УНФА_УиО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 согласование документов подведомственных учреждений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rPr>
                <w:rStyle w:val="1150"/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Для сотрудников организаций, имеющих филиальную сеть (на период проведения камеральной проверки при наличии приказа о проверке)</w:t>
            </w:r>
            <w:r>
              <w:rPr>
                <w:rStyle w:val="1150"/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бухгалтерского учета в конечном статусе документа, формирование отчетов, просмотр поступивших задач пользо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вателей учреждения для лиц, осуществляющих камеральную проверку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Style w:val="115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</w:t>
            </w:r>
            <w:r>
              <w:rPr>
                <w:rStyle w:val="1150"/>
                <w:sz w:val="24"/>
                <w:szCs w:val="20"/>
                <w:lang w:eastAsia="ru-RU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УНФА_УИО Просмотр документов филиальной сети в конечном статусе (ФКУ)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  <w:p>
            <w:pP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Для сотрудников территориальных органов Федерального казначейства, Межрегиональных управлений Федерального казначейства, обеспечивающих функции по ведению учета и формированию отчетности организаций, передавших полномочия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бухгалтерского учета, формирование отчетов, просмотр поступивших задач пользователей учреждения в конечном статусе во всех областях данной ЦБ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Style w:val="115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</w:t>
            </w:r>
            <w:r>
              <w:rPr>
                <w:rStyle w:val="1150"/>
                <w:sz w:val="24"/>
                <w:szCs w:val="20"/>
                <w:lang w:eastAsia="ru-RU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УНФА_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УИО  Просмотр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 документов учреждений, передавших полномочия в ЦБ в конечном стату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се (ЦБ)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  <w:p>
            <w:pP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1089"/>
        </w:trPr>
        <w:tc>
          <w:tcPr>
            <w:tcW w:w="28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95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 ЦБ.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централизованной бухгалтерии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57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УНФА Формирование документов по централизованной бухгалтерии сотрудников ЦБ утверждение руководитель</w:t>
            </w: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</w:r>
          </w:p>
        </w:tc>
      </w:tr>
    </w:tbl>
    <w:p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sz w:val="28"/>
          <w:szCs w:val="28"/>
        </w:rPr>
        <w:t xml:space="preserve">Информация о соответствии</w:t>
      </w:r>
      <w:r>
        <w:rPr>
          <w:rFonts w:ascii="Times New Roman" w:hAnsi="Times New Roman"/>
          <w:sz w:val="28"/>
          <w:szCs w:val="28"/>
        </w:rPr>
        <w:t xml:space="preserve"> полномочий, указанных в заявке на подключение пользователей перечню ролей доступа, настроенных для работы в подсистеме управления оплатой труда государственной интегрированной информационной системы управления общественными финансами «Электронный бюджет».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A0" w:firstRow="1" w:lastRow="0" w:firstColumn="1" w:lastColumn="0" w:noHBand="0" w:noVBand="0"/>
      </w:tblPr>
      <w:tblGrid>
        <w:gridCol w:w="1235"/>
        <w:gridCol w:w="4881"/>
        <w:gridCol w:w="2090"/>
        <w:gridCol w:w="6495"/>
      </w:tblGrid>
      <w:tr>
        <w:tblPrEx/>
        <w:trPr>
          <w:cantSplit/>
          <w:jc w:val="center"/>
          <w:trHeight w:val="575"/>
          <w:tblHeader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№ п/п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Полномочие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Роль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Код роли доступа в системе «Электронный бюджет»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</w:tr>
      <w:tr>
        <w:tblPrEx/>
        <w:trPr>
          <w:cantSplit/>
          <w:jc w:val="center"/>
          <w:trHeight w:val="964" w:hRule="exact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Для сотрудников территориальных органов Федерального казначейства, Межр</w:t>
            </w:r>
            <w:r>
              <w:rPr>
                <w:rFonts w:ascii="Times New Roman" w:hAnsi="Times New Roman"/>
                <w:b/>
                <w:sz w:val="24"/>
              </w:rPr>
              <w:t xml:space="preserve">егиональных управлений Федерального казначейства, Федерального казенного учреждения «Центр по обеспечению деятельности Казначейства России» и его филиалов, обеспечивающих функции по ведению учета и формированию отчетности организаций, передавших полномочия</w:t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blPrEx/>
        <w:trPr>
          <w:cantSplit/>
          <w:jc w:val="center"/>
          <w:trHeight w:val="569"/>
        </w:trPr>
        <w:tc>
          <w:tcPr>
            <w:tcW w:w="420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313" w:hanging="142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Осуществление расчета и выплаты заработной платы, налогов и взносов.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Осуществление расчета и выплаты заработной платы, налогов и взносов сотрудник ЦБ ввод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706"/>
        </w:trPr>
        <w:tc>
          <w:tcPr>
            <w:tcW w:w="420" w:type="pct"/>
            <w:vAlign w:val="center"/>
            <w:vMerge w:val="continue"/>
            <w:textDirection w:val="lrTb"/>
            <w:noWrap w:val="false"/>
          </w:tcPr>
          <w:p>
            <w:pPr>
              <w:pStyle w:val="937"/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vanish/>
                <w:spacing w:val="6"/>
                <w:sz w:val="24"/>
              </w:rPr>
            </w:pPr>
            <w:r>
              <w:rPr>
                <w:rFonts w:ascii="Times New Roman" w:hAnsi="Times New Roman"/>
                <w:vanish/>
                <w:spacing w:val="6"/>
                <w:sz w:val="24"/>
              </w:rPr>
            </w:r>
            <w:r>
              <w:rPr>
                <w:rFonts w:ascii="Times New Roman" w:hAnsi="Times New Roman"/>
                <w:vanish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Осуществление расчета и выплаты заработной платы, налогов и взносов сотрудник ЦБ согласование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980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spacing w:after="120" w:line="240" w:lineRule="atLeast"/>
              <w:tabs>
                <w:tab w:val="left" w:pos="22" w:leader="none"/>
              </w:tabs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Главный бухгалтер.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_Ref61854081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1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Осуществление расчета и выплаты заработной платы, налогов и взносов.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Осуществление расчета и выплаты заработной платы, налогов и взносов сотрудник ЦБ утверждение гл. бухгалтер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980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spacing w:after="120" w:line="240" w:lineRule="atLeast"/>
              <w:tabs>
                <w:tab w:val="left" w:pos="22" w:leader="none"/>
              </w:tabs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Закрепление сотрудников ОЦБ за организациями, передавшими полномочия по ведению учета и формированию отчетности.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Установка учреждений Администратор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980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spacing w:after="120" w:line="240" w:lineRule="atLeast"/>
              <w:tabs>
                <w:tab w:val="left" w:pos="22" w:leader="none"/>
              </w:tabs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Локальная настройка, подготовка и подключение интеграций с другими подсистемами, а также внешними информационными системами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ind w:left="6"/>
              <w:jc w:val="both"/>
              <w:tabs>
                <w:tab w:val="left" w:pos="421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Локальный администратор ЦБ ввод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980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spacing w:after="120" w:line="240" w:lineRule="atLeast"/>
              <w:tabs>
                <w:tab w:val="left" w:pos="22" w:leader="none"/>
              </w:tabs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 документов по расчету зарплаты, формирование отчетов, просмотр поступивших задач пользователей учреждения в конечном статусе во всех областях данной главы </w:t>
            </w:r>
            <w:r>
              <w:rPr>
                <w:rFonts w:ascii="Times New Roman" w:hAnsi="Times New Roman"/>
                <w:sz w:val="24"/>
              </w:rPr>
              <w:t xml:space="preserve">(ЦБ)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ind w:left="6"/>
              <w:jc w:val="both"/>
              <w:tabs>
                <w:tab w:val="left" w:pos="421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Просмотр документов учреждений, передавших полномочия в ЦБ в конечном стату</w:t>
            </w:r>
            <w:r>
              <w:rPr>
                <w:rFonts w:ascii="Times New Roman" w:hAnsi="Times New Roman"/>
                <w:sz w:val="24"/>
              </w:rPr>
              <w:t xml:space="preserve">се (ЦБ)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645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Для сотрудников Федеральных органов исполнительной власти (далее – ФОИВ), территориальных органов ФОИВ и подведомственных Федеральных казенных учреждений, передавших полномочия по ведению бюджетного учета</w:t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blPrEx/>
        <w:trPr>
          <w:cantSplit/>
          <w:jc w:val="center"/>
          <w:trHeight w:val="513"/>
        </w:trPr>
        <w:tc>
          <w:tcPr>
            <w:tcW w:w="420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Формирование документов кадрового учета.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Формирование кадровых документов c ЦБ ввод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643"/>
        </w:trPr>
        <w:tc>
          <w:tcPr>
            <w:tcW w:w="420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Формирование кадровых документов c ЦБ согласование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523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Формирование документов кадрового учета.</w:t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Формирование кадровых документов с ЦБ утверждение руководитель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523"/>
        </w:trPr>
        <w:tc>
          <w:tcPr>
            <w:tcW w:w="420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Ведение табеля.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Ведение табеля c ЦБ ввод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460"/>
        </w:trPr>
        <w:tc>
          <w:tcPr>
            <w:tcW w:w="420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Ведение табеля c ЦБ согласование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413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Ведение табеля.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Ведение табеля с ЦБ утверждение руководитель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413"/>
        </w:trPr>
        <w:tc>
          <w:tcPr>
            <w:tcW w:w="420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Формирование данных приказов о премировании.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Формирование данных приказов о премировании c ЦБ ввод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479"/>
        </w:trPr>
        <w:tc>
          <w:tcPr>
            <w:tcW w:w="420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Формирование данных приказов о премировании c ЦБ согласование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375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Формирование данных приказов о премировании.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Формирование данных приказов о премировании с ЦБ утверждение руководитель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375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</w:rPr>
              <w:t xml:space="preserve">Работа с гражданско-правовыми договорами</w:t>
            </w:r>
            <w:r>
              <w:rPr>
                <w:rFonts w:ascii="Times New Roman" w:hAnsi="Times New Roman"/>
                <w:b/>
                <w:spacing w:val="6"/>
                <w:sz w:val="24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Загрузка данных по гражданско-правовым договорам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375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Локальная настройка, подготовка и подключение интеграций с другими подсистемами, а также внешними информационными системами (ТОФК)</w:t>
            </w:r>
            <w:r>
              <w:t xml:space="preserve"> </w:t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4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Локальный администратор ТОФК с ЦБ ввод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375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Ведение локальных справочников для ФОИВ и подведомственных ему учреждений.</w:t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3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 Ведение справочников подсистемы по своей главе с ЦБ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jc w:val="center"/>
          <w:trHeight w:val="830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по расчету зарплаты, формирование отчетов, просмотр поступивших задач пользователей учрежде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ния.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УК Просмотр документов по расчету зарплаты, формирование отчетов, просмотр поступивших задач пользователей учреждения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830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в конечном статусе по начислению заработной платы и иных выплат, формирование отчетов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УК Просмотр документов по начислению заработной платы и иных выплат, формирование отчетов в конечном статусе документа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830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Формирование документов учета учащихся высших учебных заведений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УК Загрузка данных по учету выплат студентам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413"/>
        </w:trPr>
        <w:tc>
          <w:tcPr>
            <w:tcW w:w="420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Формирование статей финансирования в соответствии со статьями плана ФХД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УК Формирование статей финансирования c ЦБ ввод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412"/>
        </w:trPr>
        <w:tc>
          <w:tcPr>
            <w:tcW w:w="420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1660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УК Формирование статей финансирования c ЦБ согласование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830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Для сотрудников Счетной палаты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830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Счетной палаты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 xml:space="preserve">6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</w:r>
          </w:p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</w:r>
          </w:p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bCs/>
                <w:spacing w:val="6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</w:t>
            </w:r>
            <w:r>
              <w:rPr>
                <w:bCs/>
                <w:spacing w:val="6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УК Просмотр документов счетной палатой</w:t>
            </w:r>
            <w:r>
              <w:rPr>
                <w:rFonts w:ascii="Times New Roman" w:hAnsi="Times New Roman"/>
                <w:spacing w:val="6"/>
                <w:sz w:val="24"/>
              </w:rPr>
            </w:r>
          </w:p>
          <w:p>
            <w:pPr>
              <w:jc w:val="both"/>
              <w:spacing w:after="120" w:line="240" w:lineRule="atLeast"/>
              <w:rPr>
                <w:bCs/>
                <w:spacing w:val="6"/>
              </w:rPr>
            </w:pPr>
            <w:r>
              <w:rPr>
                <w:bCs/>
                <w:spacing w:val="6"/>
              </w:rPr>
            </w:r>
            <w:r>
              <w:rPr>
                <w:bCs/>
                <w:spacing w:val="6"/>
              </w:rPr>
            </w:r>
          </w:p>
        </w:tc>
      </w:tr>
      <w:tr>
        <w:tblPrEx/>
        <w:trPr>
          <w:cantSplit/>
          <w:jc w:val="center"/>
          <w:trHeight w:val="830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Для сотрудников организаций, имеющих те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рриториальные органы и/или подведомственные учреждения (на период проведения камеральной проверки при наличии приказа о проверке)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jc w:val="center"/>
          <w:trHeight w:val="830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УК Просмотр документов подведомственных организаций в кон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ечном статусе (ФОИВ)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  <w:tr>
        <w:tblPrEx/>
        <w:trPr>
          <w:cantSplit/>
          <w:jc w:val="center"/>
          <w:trHeight w:val="830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Для сотрудников организаций, имеющих филиальную сеть (на период проведения камеральной проверки при наличии приказа о проверке)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jc w:val="center"/>
          <w:trHeight w:val="830"/>
        </w:trPr>
        <w:tc>
          <w:tcPr>
            <w:tcW w:w="420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1660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  <w:r>
              <w:rPr>
                <w:rStyle w:val="1150"/>
                <w:rFonts w:ascii="Times New Roman" w:hAnsi="Times New Roman"/>
                <w:sz w:val="24"/>
                <w:szCs w:val="20"/>
                <w:lang w:eastAsia="ru-RU"/>
              </w:rPr>
            </w:r>
          </w:p>
        </w:tc>
        <w:tc>
          <w:tcPr>
            <w:tcW w:w="711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  <w:tc>
          <w:tcPr>
            <w:tcW w:w="2209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УК Просмотр документов филиальной сети в конечном статусе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 (ФКУ)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lang w:eastAsia="ru-RU"/>
              </w:rPr>
            </w:r>
          </w:p>
        </w:tc>
      </w:tr>
    </w:tbl>
    <w:p>
      <w:pPr>
        <w:rPr>
          <w:rFonts w:ascii="Times New Roman" w:hAnsi="Times New Roman"/>
        </w:rPr>
        <w:sectPr>
          <w:headerReference w:type="default" r:id="rId9"/>
          <w:headerReference w:type="first" r:id="rId10"/>
          <w:footerReference w:type="default" r:id="rId11"/>
          <w:footerReference w:type="first" r:id="rId12"/>
          <w:footnotePr/>
          <w:endnotePr/>
          <w:type w:val="nextPage"/>
          <w:pgSz w:w="16838" w:h="11906" w:orient="landscape"/>
          <w:pgMar w:top="1418" w:right="1134" w:bottom="851" w:left="993" w:header="284" w:footer="725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указанных в заявке на подключение пользователей перечню ролей доступа, настроенных для работы в модуле ведения учета операций средств единого казначейского счета подсистемы у</w:t>
      </w:r>
      <w:r>
        <w:rPr>
          <w:rFonts w:ascii="Times New Roman" w:hAnsi="Times New Roman"/>
          <w:sz w:val="28"/>
          <w:szCs w:val="28"/>
        </w:rPr>
        <w:t xml:space="preserve">чета и отчетности государственной интегрированной информационной системы управления общественными финансами «Электронный бюджет».</w:t>
      </w:r>
      <w:r>
        <w:rPr>
          <w:rFonts w:ascii="Times New Roman" w:hAnsi="Times New Roman"/>
          <w:b/>
          <w:bCs/>
          <w:sz w:val="24"/>
          <w:szCs w:val="24"/>
        </w:rPr>
      </w:r>
    </w:p>
    <w:p>
      <w:r/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A0" w:firstRow="1" w:lastRow="0" w:firstColumn="1" w:lastColumn="0" w:noHBand="0" w:noVBand="0"/>
      </w:tblPr>
      <w:tblGrid>
        <w:gridCol w:w="1255"/>
        <w:gridCol w:w="4990"/>
        <w:gridCol w:w="2235"/>
        <w:gridCol w:w="6221"/>
      </w:tblGrid>
      <w:tr>
        <w:tblPrEx/>
        <w:trPr>
          <w:cantSplit/>
          <w:jc w:val="center"/>
          <w:trHeight w:val="732"/>
          <w:tblHeader/>
        </w:trPr>
        <w:tc>
          <w:tcPr>
            <w:tcW w:w="427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Полномочие</w:t>
            </w: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Роль</w:t>
            </w: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</w:r>
          </w:p>
        </w:tc>
        <w:tc>
          <w:tcPr>
            <w:tcW w:w="2116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Код роли доступа в системе «Электронный бюджет»</w:t>
            </w: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</w:r>
          </w:p>
        </w:tc>
      </w:tr>
      <w:tr>
        <w:tblPrEx/>
        <w:trPr>
          <w:cantSplit/>
          <w:jc w:val="center"/>
          <w:trHeight w:val="875" w:hRule="exact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Для сотрудников территориальных органов Федерального казначейства, Межрегиональных управлений Федерального казначейства, обеспечивающих функции по ведению учета на едином казначейском счете (ЦБ)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427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Формирование документов по учету операций по управлению остатками средств на едином казначейском счете (ЦБ)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116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МВУ_ЕКС Формирование документов по учету операций по управлению остатками средств на едином казначейском счете сотрудник ЦБ ввод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W w:w="427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Согласование 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116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МВУ_ЕКС Формирование документов по учету операций по управлению остатками средств на едином казначейском счете сотрудник ЦБ согласование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W w:w="427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Главный бухгалтер.</w:t>
            </w:r>
            <w:r>
              <w:rPr>
                <w:rFonts w:ascii="Times New Roman" w:hAnsi="Times New Roman"/>
                <w:b/>
                <w:spacing w:val="6"/>
                <w:sz w:val="24"/>
                <w:vertAlign w:val="superscript"/>
              </w:rPr>
              <w:t xml:space="preserve">1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Формирование документов по учету операций по управлению остатками средств на едином казначейском счете (ЦБ)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116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МВУ_ЕКС Формирование документов по учету операций по управлению остатками средств на едином счете ФБ сотрудник ЦБ утверждение гл. бухга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лтер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877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pStyle w:val="1149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Для сотрудников территориальных органов Федерального казначейства, Межрегиональных управлений Федерального казначейства, обеспечивающих функции по ведению учета на едином казначейском счете (Учреждение)</w:t>
            </w: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704"/>
        </w:trPr>
        <w:tc>
          <w:tcPr>
            <w:tcW w:w="427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1697" w:type="pct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Формирование документов по учету операций по управлению остатками средств на едином казначейском счете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116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МВУ_ЕКС Формирование документов по учету операций по управлению остатками средств на едином казначейском счете с ЦБ ввод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904"/>
        </w:trPr>
        <w:tc>
          <w:tcPr>
            <w:tcW w:w="427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1697" w:type="pct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116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МВУ_ЕКС Формирование документов по учету операций по управлению остатками средств на едином казначейском счете с ЦБ согласование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W w:w="427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Главный бухгалтер.</w:t>
            </w:r>
            <w:r>
              <w:rPr>
                <w:rFonts w:ascii="Times New Roman" w:hAnsi="Times New Roman"/>
                <w:b/>
                <w:spacing w:val="6"/>
                <w:sz w:val="24"/>
                <w:vertAlign w:val="superscript"/>
              </w:rPr>
              <w:t xml:space="preserve">1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 Формирование документов по учету операций по управлению остатками средств на едином казначейском счете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Ут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верждение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116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МВУ_ЕКС Формирование документов по учету операций по управлению остатками средств на едином казначейском счете с ЦБ утверждение главный бухгалтер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1135"/>
        </w:trPr>
        <w:tc>
          <w:tcPr>
            <w:tcW w:w="427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1107"/>
                <w:rFonts w:ascii="Times New Roman" w:hAnsi="Times New Roman"/>
                <w:b/>
                <w:sz w:val="24"/>
              </w:rPr>
              <w:t xml:space="preserve"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 Формирование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 документов по учету операций по управлению остатками средств на едином казначейском счете</w:t>
            </w: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116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МВУ_ЕКС Формирование документов по учету операций по управлению остатками средств на едином казначейском счете с ЦБ утверждение руководитель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W w:w="427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  <w:t xml:space="preserve">Просмотр документов бухгалтерского учета, формирование отчетов, просмотр поступивших задач пользователей учреждения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116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 xml:space="preserve">МВУ_ЕКС Просмотр документов бухгалтерского учета, формирование отчетов, просмотр поступивших задач пользователей учреждения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W w:w="427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  <w:t xml:space="preserve">Просмотр документов бухгалтерского учета в конечном статусе документа, формирование отчетов, просмотр поступивших задач пользователей учреждения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116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 xml:space="preserve">МВУ_ЕКС Просмотр документов бухгалтерского учета, формирование отчетов, поступивших задач пользователе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 xml:space="preserve">й учреждения в конечном статусе документа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pStyle w:val="1149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Для сотрудников Счетной палаты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W w:w="427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1697" w:type="pct"/>
            <w:vAlign w:val="center"/>
            <w:textDirection w:val="lrTb"/>
            <w:noWrap w:val="false"/>
          </w:tcPr>
          <w:p>
            <w:pPr>
              <w:jc w:val="both"/>
              <w:spacing w:after="120" w:line="240" w:lineRule="atLeast"/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  <w:t xml:space="preserve">Просмотр документов бухгалтерского учета в МВУ ЕКС в конечном статусе документа, формирование отчетов, просмотр поступивших задач пользователей учреждения для счетной палаты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 xml:space="preserve">6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eastAsia="ru-RU"/>
              </w:rPr>
            </w:r>
          </w:p>
        </w:tc>
        <w:tc>
          <w:tcPr>
            <w:tcW w:w="760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</w:r>
          </w:p>
        </w:tc>
        <w:tc>
          <w:tcPr>
            <w:tcW w:w="2116" w:type="pct"/>
            <w:vAlign w:val="center"/>
            <w:textDirection w:val="lrTb"/>
            <w:noWrap w:val="false"/>
          </w:tcPr>
          <w:p>
            <w:pPr>
              <w:pStyle w:val="1149"/>
              <w:jc w:val="left"/>
              <w:keepNext/>
              <w:spacing w:before="120" w:after="120" w:line="240" w:lineRule="auto"/>
              <w:shd w:val="clear" w:color="auto" w:fill="auto"/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 xml:space="preserve">МВУ_ЕКС Просмотр документов счетной палатой</w:t>
            </w:r>
            <w:r>
              <w:rPr>
                <w:rStyle w:val="1150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r>
          </w:p>
        </w:tc>
      </w:tr>
    </w:tbl>
    <w:p>
      <w:r/>
      <w:r/>
    </w:p>
    <w:sectPr>
      <w:footerReference w:type="default" r:id="rId13"/>
      <w:footnotePr/>
      <w:endnotePr/>
      <w:type w:val="nextPage"/>
      <w:pgSz w:w="16838" w:h="11906" w:orient="landscape"/>
      <w:pgMar w:top="1418" w:right="1134" w:bottom="851" w:left="993" w:header="284" w:footer="725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08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 xml:space="preserve">1</w:t>
    </w:r>
    <w:r>
      <w:rPr>
        <w:rFonts w:ascii="Times New Roman" w:hAnsi="Times New Roman"/>
        <w:b/>
        <w:lang w:val="ru-RU"/>
      </w:rPr>
      <w:t xml:space="preserve">Доступно только для главного бухгалтера централизованной бухгалтерии.</w:t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 xml:space="preserve">2</w:t>
    </w:r>
    <w:r>
      <w:rPr>
        <w:rFonts w:ascii="Times New Roman" w:hAnsi="Times New Roman"/>
        <w:b/>
        <w:lang w:val="ru-RU"/>
      </w:rPr>
      <w:t xml:space="preserve"> Доступно только для руководителя организации, передавшей полномочия по ведению бюджетного учета. При добавлении данной роли в ТОФК сверяется с карточкой образцов первой подписи.</w:t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rStyle w:val="1107"/>
        <w:rFonts w:ascii="Times New Roman" w:hAnsi="Times New Roman"/>
        <w:b/>
        <w:lang w:val="ru-RU"/>
      </w:rPr>
      <w:t xml:space="preserve">3</w:t>
    </w:r>
    <w:r>
      <w:rPr>
        <w:rFonts w:ascii="Times New Roman" w:hAnsi="Times New Roman"/>
        <w:b/>
        <w:lang w:val="ru-RU"/>
      </w:rPr>
      <w:t xml:space="preserve"> Доступно только для сотрудников центрального аппарата федерального органа и</w:t>
    </w:r>
    <w:r>
      <w:rPr>
        <w:rFonts w:ascii="Times New Roman" w:hAnsi="Times New Roman"/>
        <w:b/>
        <w:lang w:val="ru-RU"/>
      </w:rPr>
      <w:t xml:space="preserve">сполнительной власти.</w:t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 xml:space="preserve">4</w:t>
    </w:r>
    <w:r>
      <w:rPr>
        <w:rFonts w:ascii="Times New Roman" w:hAnsi="Times New Roman"/>
        <w:b/>
        <w:lang w:val="ru-RU"/>
      </w:rPr>
      <w:t xml:space="preserve"> Доступно только для сотрудников ТОФК.</w:t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 xml:space="preserve">5</w:t>
    </w:r>
    <w:r>
      <w:rPr>
        <w:rFonts w:ascii="Times New Roman" w:hAnsi="Times New Roman"/>
        <w:b/>
        <w:lang w:val="ru-RU"/>
      </w:rPr>
      <w:t xml:space="preserve"> Доступно только для сотрудников Федерального казначейства и его территориальных органов, иных контролирующих органов, на которые возложены функции контроля в соответствии с действующим законодательством Российской Федерации.</w:t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 xml:space="preserve">6</w:t>
    </w:r>
    <w:r>
      <w:rPr>
        <w:rFonts w:ascii="Times New Roman" w:hAnsi="Times New Roman"/>
        <w:b/>
        <w:lang w:val="ru-RU"/>
      </w:rPr>
      <w:t xml:space="preserve"> Доступно только для сотрудни</w:t>
    </w:r>
    <w:r>
      <w:rPr>
        <w:rFonts w:ascii="Times New Roman" w:hAnsi="Times New Roman"/>
        <w:b/>
        <w:lang w:val="ru-RU"/>
      </w:rPr>
      <w:t xml:space="preserve">ков Счетной палаты</w:t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lang w:val="ru-RU"/>
      </w:rPr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lang w:val="ru-RU"/>
      </w:rPr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lang w:val="ru-RU"/>
      </w:rPr>
    </w:r>
    <w:r>
      <w:rPr>
        <w:rFonts w:ascii="Times New Roman" w:hAnsi="Times New Roman"/>
        <w:b/>
        <w:lang w:val="ru-RU"/>
      </w:rPr>
    </w:r>
  </w:p>
  <w:p>
    <w:pPr>
      <w:pStyle w:val="949"/>
      <w:rPr>
        <w:lang w:val="ru-RU"/>
      </w:rPr>
    </w:pPr>
    <w:r>
      <w:rPr>
        <w:lang w:val="ru-RU"/>
      </w:rPr>
    </w:r>
    <w:r>
      <w:rPr>
        <w:lang w:val="ru-RU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08"/>
      <w:rPr>
        <w:lang w:val="ru-RU"/>
      </w:rPr>
    </w:pPr>
    <w:r>
      <w:rPr>
        <w:vertAlign w:val="superscript"/>
        <w:lang w:val="ru-RU"/>
      </w:rPr>
      <w:t xml:space="preserve">1 </w:t>
    </w:r>
    <w:r>
      <w:rPr>
        <w:lang w:val="ru-RU"/>
      </w:rPr>
      <w:t xml:space="preserve">Доступно только для главного бухгалтера централизованной бухгалтерии</w:t>
    </w:r>
    <w:r>
      <w:rPr>
        <w:lang w:val="ru-RU"/>
      </w:rPr>
    </w:r>
  </w:p>
  <w:p>
    <w:pPr>
      <w:pStyle w:val="1108"/>
      <w:rPr>
        <w:lang w:val="ru-RU"/>
      </w:rPr>
    </w:pPr>
    <w:r>
      <w:rPr>
        <w:vertAlign w:val="superscript"/>
        <w:lang w:val="ru-RU"/>
      </w:rPr>
      <w:t xml:space="preserve">2</w:t>
    </w:r>
    <w:r>
      <w:rPr>
        <w:lang w:val="ru-RU"/>
      </w:rPr>
      <w:t xml:space="preserve"> Доступно только для руководителя организации, передавшей полномочия по ведению бюджетного учета. При добавлении данной роли в ТОФК сверяется с карточкой образцо</w:t>
    </w:r>
    <w:r>
      <w:rPr>
        <w:lang w:val="ru-RU"/>
      </w:rPr>
      <w:t xml:space="preserve">в первой подписи.</w:t>
    </w:r>
    <w:r>
      <w:rPr>
        <w:lang w:val="ru-RU"/>
      </w:rPr>
    </w:r>
  </w:p>
  <w:p>
    <w:pPr>
      <w:pStyle w:val="949"/>
      <w:rPr>
        <w:lang w:val="ru-RU"/>
      </w:rPr>
    </w:pPr>
    <w:r>
      <w:rPr>
        <w:lang w:val="ru-RU"/>
      </w:rPr>
    </w:r>
    <w:r>
      <w:rPr>
        <w:lang w:val="ru-RU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08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lang w:val="ru-RU"/>
      </w:rPr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 xml:space="preserve">1 </w:t>
    </w:r>
    <w:r>
      <w:rPr>
        <w:rFonts w:ascii="Times New Roman" w:hAnsi="Times New Roman"/>
        <w:b/>
        <w:lang w:val="ru-RU"/>
      </w:rPr>
      <w:t xml:space="preserve">Доступно только для главного бухгалтера централизованной бухгалтерии.</w:t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 xml:space="preserve">2</w:t>
    </w:r>
    <w:r>
      <w:rPr>
        <w:rFonts w:ascii="Times New Roman" w:hAnsi="Times New Roman"/>
        <w:b/>
        <w:lang w:val="ru-RU"/>
      </w:rPr>
      <w:t xml:space="preserve"> Доступно только для руководителя организации, передавшей полномочия по ведению бюджетного учета. При добавлении данной роли в ТОФК сверяется с карточкой образцов первой подписи.</w:t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 xml:space="preserve">3</w:t>
    </w:r>
    <w:r>
      <w:rPr>
        <w:rFonts w:ascii="Times New Roman" w:hAnsi="Times New Roman"/>
        <w:b/>
        <w:lang w:val="ru-RU"/>
      </w:rPr>
      <w:t xml:space="preserve">Доступно только для сотрудников центрального аппарата федерального органа ис</w:t>
    </w:r>
    <w:r>
      <w:rPr>
        <w:rFonts w:ascii="Times New Roman" w:hAnsi="Times New Roman"/>
        <w:b/>
        <w:lang w:val="ru-RU"/>
      </w:rPr>
      <w:t xml:space="preserve">полнительной власти.</w:t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 xml:space="preserve">4</w:t>
    </w:r>
    <w:r>
      <w:rPr>
        <w:rFonts w:ascii="Times New Roman" w:hAnsi="Times New Roman"/>
        <w:b/>
        <w:lang w:val="ru-RU"/>
      </w:rPr>
      <w:t xml:space="preserve">Доступно только для сотрудников ТОФК.</w:t>
    </w:r>
    <w:r>
      <w:rPr>
        <w:rFonts w:ascii="Times New Roman" w:hAnsi="Times New Roman"/>
        <w:b/>
        <w:lang w:val="ru-RU"/>
      </w:rPr>
    </w:r>
  </w:p>
  <w:p>
    <w:pPr>
      <w:pStyle w:val="1108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 xml:space="preserve">5</w:t>
    </w:r>
    <w:r>
      <w:rPr>
        <w:rFonts w:ascii="Times New Roman" w:hAnsi="Times New Roman"/>
        <w:b/>
        <w:lang w:val="ru-RU"/>
      </w:rPr>
      <w:t xml:space="preserve">Доступно только для сотрудников Счетной палаты, Федерального казначейства и его территориальных органов, иных контролирующих органов, на которые возложены функции контроля в соответствии с действ</w:t>
    </w:r>
    <w:r>
      <w:rPr>
        <w:rFonts w:ascii="Times New Roman" w:hAnsi="Times New Roman"/>
        <w:b/>
        <w:lang w:val="ru-RU"/>
      </w:rPr>
      <w:t xml:space="preserve">ующим законодательством Российской Федерации.</w:t>
    </w:r>
    <w:r>
      <w:rPr>
        <w:rFonts w:ascii="Times New Roman" w:hAnsi="Times New Roman"/>
        <w:b/>
        <w:lang w:val="ru-RU"/>
      </w:rPr>
    </w:r>
  </w:p>
  <w:p>
    <w:pPr>
      <w:pStyle w:val="949"/>
      <w:rPr>
        <w:lang w:val="ru-RU"/>
      </w:rPr>
    </w:pPr>
    <w:r>
      <w:rPr>
        <w:lang w:val="ru-RU"/>
      </w:rPr>
    </w:r>
    <w:r>
      <w:rPr>
        <w:lang w:val="ru-RU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22</w:t>
    </w:r>
    <w:r>
      <w:fldChar w:fldCharType="end"/>
    </w:r>
    <w:r/>
  </w:p>
  <w:p>
    <w:pPr>
      <w:pStyle w:val="947"/>
      <w:jc w:val="center"/>
      <w:rPr>
        <w:lang w:val="ru-RU"/>
      </w:rPr>
    </w:pPr>
    <w:r>
      <w:rPr>
        <w:lang w:val="ru-RU"/>
      </w:rPr>
    </w:r>
    <w:r>
      <w:rPr>
        <w:lang w:val="ru-RU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20"/>
      <w:ind w:left="5387"/>
      <w:jc w:val="center"/>
      <w:spacing w:line="276" w:lineRule="auto"/>
      <w:rPr>
        <w:rFonts w:ascii="Times New Roman" w:hAnsi="Times New Roman"/>
        <w:sz w:val="28"/>
        <w:szCs w:val="28"/>
        <w:lang w:eastAsia="en-US"/>
      </w:rPr>
    </w:pPr>
    <w:r/>
    <w:bookmarkStart w:id="1" w:name="_Toc322613947"/>
    <w:r/>
    <w:bookmarkStart w:id="2" w:name="_Toc322619445"/>
    <w:r/>
    <w:bookmarkStart w:id="3" w:name="_Toc372901644"/>
    <w:r/>
    <w:bookmarkStart w:id="4" w:name="_Toc374702077"/>
    <w:r/>
    <w:bookmarkStart w:id="5" w:name="_Toc372901645"/>
    <w:r/>
    <w:bookmarkStart w:id="6" w:name="_Toc374702078"/>
    <w:r/>
    <w:bookmarkStart w:id="7" w:name="_Toc372901646"/>
    <w:r/>
    <w:bookmarkStart w:id="8" w:name="_Toc374702079"/>
    <w:r/>
    <w:bookmarkStart w:id="9" w:name="_Toc372901647"/>
    <w:r/>
    <w:bookmarkStart w:id="10" w:name="_Toc374702080"/>
    <w:r/>
    <w:bookmarkStart w:id="11" w:name="_Toc372901648"/>
    <w:r/>
    <w:bookmarkStart w:id="12" w:name="_Toc374702081"/>
    <w:r/>
    <w:bookmarkStart w:id="13" w:name="_Toc372901649"/>
    <w:r/>
    <w:bookmarkStart w:id="14" w:name="_Toc374702082"/>
    <w:r/>
    <w:bookmarkEnd w:id="1"/>
    <w:r/>
    <w:bookmarkEnd w:id="2"/>
    <w:r/>
    <w:bookmarkEnd w:id="3"/>
    <w:r/>
    <w:bookmarkEnd w:id="4"/>
    <w:r/>
    <w:bookmarkEnd w:id="5"/>
    <w:r/>
    <w:bookmarkEnd w:id="6"/>
    <w:r/>
    <w:bookmarkEnd w:id="7"/>
    <w:r/>
    <w:bookmarkEnd w:id="8"/>
    <w:r/>
    <w:bookmarkEnd w:id="9"/>
    <w:r/>
    <w:bookmarkEnd w:id="10"/>
    <w:r/>
    <w:bookmarkEnd w:id="11"/>
    <w:r/>
    <w:bookmarkEnd w:id="12"/>
    <w:r/>
    <w:bookmarkEnd w:id="13"/>
    <w:r/>
    <w:bookmarkEnd w:id="14"/>
    <w:r/>
    <w:r>
      <w:rPr>
        <w:rFonts w:ascii="Times New Roman" w:hAnsi="Times New Roman"/>
        <w:sz w:val="28"/>
        <w:szCs w:val="28"/>
        <w:lang w:eastAsia="en-US"/>
      </w:rPr>
    </w:r>
  </w:p>
  <w:p>
    <w:pPr>
      <w:pStyle w:val="1120"/>
      <w:ind w:left="9781"/>
      <w:jc w:val="center"/>
      <w:spacing w:line="276" w:lineRule="auto"/>
      <w:rPr>
        <w:rFonts w:ascii="Times New Roman" w:hAnsi="Times New Roman"/>
        <w:sz w:val="28"/>
        <w:szCs w:val="28"/>
        <w:lang w:eastAsia="en-US"/>
      </w:rPr>
    </w:pPr>
    <w:r>
      <w:rPr>
        <w:rFonts w:ascii="Times New Roman" w:hAnsi="Times New Roman"/>
        <w:sz w:val="28"/>
        <w:szCs w:val="28"/>
        <w:lang w:eastAsia="en-US"/>
      </w:rPr>
      <w:t xml:space="preserve">Приложение № 8 к Единой заявке:</w:t>
    </w:r>
    <w:r>
      <w:rPr>
        <w:rFonts w:ascii="Times New Roman" w:hAnsi="Times New Roman"/>
        <w:sz w:val="28"/>
        <w:szCs w:val="28"/>
        <w:lang w:eastAsia="en-US"/>
      </w:rPr>
    </w:r>
  </w:p>
  <w:p>
    <w:pPr>
      <w:pStyle w:val="1120"/>
      <w:ind w:left="9781"/>
      <w:jc w:val="center"/>
      <w:spacing w:line="276" w:lineRule="auto"/>
      <w:rPr>
        <w:rFonts w:ascii="Times New Roman" w:hAnsi="Times New Roman"/>
        <w:sz w:val="28"/>
        <w:szCs w:val="28"/>
        <w:lang w:eastAsia="en-US"/>
      </w:rPr>
    </w:pPr>
    <w:r>
      <w:rPr>
        <w:rFonts w:ascii="Times New Roman" w:hAnsi="Times New Roman"/>
        <w:sz w:val="28"/>
        <w:szCs w:val="28"/>
        <w:lang w:eastAsia="en-US"/>
      </w:rPr>
      <w:t xml:space="preserve">ПУНФА, ПУОТ, МВУ ПУиО, МВУ ЕКС</w:t>
    </w:r>
    <w:r>
      <w:rPr>
        <w:rFonts w:ascii="Times New Roman" w:hAnsi="Times New Roman"/>
        <w:sz w:val="28"/>
        <w:szCs w:val="28"/>
        <w:lang w:eastAsia="en-US"/>
      </w:rPr>
    </w:r>
  </w:p>
  <w:p>
    <w:pPr>
      <w:pStyle w:val="947"/>
      <w:rPr>
        <w:lang w:val="ru-RU"/>
      </w:rPr>
    </w:pPr>
    <w:r>
      <w:rPr>
        <w:lang w:val="ru-RU"/>
      </w:rPr>
    </w:r>
    <w:r>
      <w:rPr>
        <w:lang w:val="ru-RU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pStyle w:val="1151"/>
      <w:isLgl w:val="false"/>
      <w:suff w:val="tab"/>
      <w:lvlText w:val="%1."/>
      <w:lvlJc w:val="left"/>
      <w:pPr>
        <w:ind w:left="1361" w:hanging="510"/>
        <w:tabs>
          <w:tab w:val="num" w:pos="1361" w:leader="none"/>
        </w:tabs>
      </w:pPr>
    </w:lvl>
    <w:lvl w:ilvl="1">
      <w:start w:val="1"/>
      <w:numFmt w:val="decimal"/>
      <w:pStyle w:val="1152"/>
      <w:isLgl w:val="false"/>
      <w:suff w:val="tab"/>
      <w:lvlText w:val="%1.%2."/>
      <w:lvlJc w:val="left"/>
      <w:pPr>
        <w:ind w:left="1531" w:hanging="680"/>
        <w:tabs>
          <w:tab w:val="num" w:pos="1531" w:leader="none"/>
        </w:tabs>
      </w:pPr>
    </w:lvl>
    <w:lvl w:ilvl="2">
      <w:start w:val="1"/>
      <w:numFmt w:val="decimal"/>
      <w:pStyle w:val="1153"/>
      <w:isLgl w:val="false"/>
      <w:suff w:val="tab"/>
      <w:lvlText w:val="%1.%2.%3."/>
      <w:lvlJc w:val="left"/>
      <w:pPr>
        <w:ind w:left="1323" w:hanging="963"/>
        <w:tabs>
          <w:tab w:val="num" w:pos="1323" w:leader="none"/>
        </w:tabs>
      </w:pPr>
      <w:rPr>
        <w:b w:val="0"/>
        <w:sz w:val="24"/>
        <w:szCs w:val="24"/>
      </w:rPr>
    </w:lvl>
    <w:lvl w:ilvl="3">
      <w:start w:val="1"/>
      <w:numFmt w:val="decimal"/>
      <w:pStyle w:val="1154"/>
      <w:isLgl w:val="false"/>
      <w:suff w:val="tab"/>
      <w:lvlText w:val="%1.%2.%3.%4."/>
      <w:lvlJc w:val="left"/>
      <w:pPr>
        <w:ind w:left="1985" w:hanging="1134"/>
        <w:tabs>
          <w:tab w:val="num" w:pos="1985" w:leader="none"/>
        </w:tabs>
      </w:pPr>
      <w:rPr>
        <w:rFonts w:ascii="Times New Roman" w:hAnsi="Times New Roman"/>
        <w:b w:val="0"/>
        <w:i w:val="0"/>
        <w:sz w:val="24"/>
        <w:szCs w:val="24"/>
      </w:rPr>
    </w:lvl>
    <w:lvl w:ilvl="4">
      <w:start w:val="1"/>
      <w:numFmt w:val="decimal"/>
      <w:pStyle w:val="1154"/>
      <w:isLgl w:val="false"/>
      <w:suff w:val="tab"/>
      <w:lvlText w:val="%1.%2.%3.%4.%5."/>
      <w:lvlJc w:val="left"/>
      <w:pPr>
        <w:ind w:left="2156" w:hanging="1304"/>
        <w:tabs>
          <w:tab w:val="num" w:pos="2156" w:leader="none"/>
        </w:tabs>
      </w:pPr>
      <w:rPr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325" w:hanging="1474"/>
        <w:tabs>
          <w:tab w:val="num" w:pos="2325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608" w:hanging="1757"/>
        <w:tabs>
          <w:tab w:val="num" w:pos="2608" w:leader="none"/>
        </w:tabs>
      </w:pPr>
    </w:lvl>
    <w:lvl w:ilvl="7">
      <w:start w:val="1"/>
      <w:numFmt w:val="decimal"/>
      <w:isLgl w:val="false"/>
      <w:suff w:val="tab"/>
      <w:lvlText w:val="%6.%7.%8"/>
      <w:lvlJc w:val="left"/>
      <w:pPr>
        <w:ind w:left="1800" w:hanging="949"/>
        <w:tabs>
          <w:tab w:val="num" w:pos="1800" w:leader="none"/>
        </w:tabs>
      </w:pPr>
    </w:lvl>
    <w:lvl w:ilvl="8">
      <w:start w:val="1"/>
      <w:numFmt w:val="decimal"/>
      <w:isLgl w:val="false"/>
      <w:suff w:val="tab"/>
      <w:lvlText w:val="%6.%7.%8.%9"/>
      <w:lvlJc w:val="left"/>
      <w:pPr>
        <w:ind w:left="1944" w:hanging="1093"/>
        <w:tabs>
          <w:tab w:val="num" w:pos="1944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20" w:hanging="180"/>
      </w:pPr>
    </w:lvl>
  </w:abstractNum>
  <w:abstractNum w:abstractNumId="12">
    <w:multiLevelType w:val="hybridMultilevel"/>
    <w:lvl w:ilvl="0">
      <w:start w:val="1"/>
      <w:numFmt w:val="decimal"/>
      <w:pStyle w:val="1097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decimal"/>
      <w:pStyle w:val="1098"/>
      <w:isLgl w:val="false"/>
      <w:suff w:val="tab"/>
      <w:lvlText w:val="%1.%2."/>
      <w:lvlJc w:val="left"/>
      <w:pPr>
        <w:ind w:left="567" w:hanging="567"/>
        <w:tabs>
          <w:tab w:val="num" w:pos="567" w:leader="none"/>
        </w:tabs>
      </w:pPr>
      <w:rPr>
        <w:rFonts w:ascii="Times New Roman" w:hAnsi="Times New Roman"/>
        <w:b/>
        <w:i w:val="0"/>
        <w:sz w:val="32"/>
        <w:szCs w:val="32"/>
      </w:rPr>
    </w:lvl>
    <w:lvl w:ilvl="2">
      <w:start w:val="1"/>
      <w:numFmt w:val="decimal"/>
      <w:pStyle w:val="1099"/>
      <w:isLgl w:val="false"/>
      <w:suff w:val="tab"/>
      <w:lvlText w:val="%1.%2.%3."/>
      <w:lvlJc w:val="left"/>
      <w:pPr>
        <w:ind w:left="964" w:hanging="964"/>
        <w:tabs>
          <w:tab w:val="num" w:pos="964" w:leader="none"/>
        </w:tabs>
      </w:pPr>
      <w:rPr>
        <w:rFonts w:ascii="Times New Roman" w:hAnsi="Times New Roman"/>
        <w:b/>
        <w:i w:val="0"/>
        <w:sz w:val="28"/>
        <w:szCs w:val="28"/>
      </w:rPr>
    </w:lvl>
    <w:lvl w:ilvl="3">
      <w:start w:val="1"/>
      <w:numFmt w:val="decimal"/>
      <w:pStyle w:val="1100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ascii="Times New Roman" w:hAnsi="Times New Roman"/>
        <w:b/>
        <w:i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4" w:hanging="1008"/>
        <w:tabs>
          <w:tab w:val="num" w:pos="724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pStyle w:val="1141"/>
      <w:isLgl w:val="false"/>
      <w:suff w:val="tab"/>
      <w:lvlText w:val=""/>
      <w:lvlJc w:val="left"/>
      <w:pPr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2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pStyle w:val="1157"/>
      <w:isLgl w:val="false"/>
      <w:suff w:val="tab"/>
      <w:lvlText w:val="%1."/>
      <w:lvlJc w:val="left"/>
      <w:pPr>
        <w:ind w:left="1134" w:hanging="567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num w:numId="1">
    <w:abstractNumId w:val="12"/>
  </w:num>
  <w:num w:numId="2">
    <w:abstractNumId w:val="1"/>
  </w:num>
  <w:num w:numId="3">
    <w:abstractNumId w:val="14"/>
  </w:num>
  <w:num w:numId="4">
    <w:abstractNumId w:val="9"/>
  </w:num>
  <w:num w:numId="5">
    <w:abstractNumId w:val="17"/>
  </w:num>
  <w:num w:numId="6">
    <w:abstractNumId w:val="2"/>
  </w:num>
  <w:num w:numId="7">
    <w:abstractNumId w:val="3"/>
  </w:num>
  <w:num w:numId="8">
    <w:abstractNumId w:val="6"/>
  </w:num>
  <w:num w:numId="9">
    <w:abstractNumId w:val="15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16"/>
  </w:num>
  <w:num w:numId="15">
    <w:abstractNumId w:val="4"/>
  </w:num>
  <w:num w:numId="16">
    <w:abstractNumId w:val="0"/>
  </w:num>
  <w:num w:numId="17">
    <w:abstractNumId w:val="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01" w:default="1">
    <w:name w:val="Normal"/>
    <w:qFormat/>
  </w:style>
  <w:style w:type="paragraph" w:styleId="902">
    <w:name w:val="Heading 1"/>
    <w:link w:val="92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903">
    <w:name w:val="Heading 2"/>
    <w:link w:val="92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904">
    <w:name w:val="Heading 3"/>
    <w:link w:val="93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905">
    <w:name w:val="Heading 4"/>
    <w:link w:val="93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06">
    <w:name w:val="Heading 5"/>
    <w:link w:val="93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07">
    <w:name w:val="Heading 6"/>
    <w:link w:val="93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08">
    <w:name w:val="Heading 7"/>
    <w:link w:val="93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09">
    <w:name w:val="Heading 8"/>
    <w:link w:val="93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10">
    <w:name w:val="Heading 9"/>
    <w:link w:val="93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11" w:default="1">
    <w:name w:val="Default Paragraph Font"/>
    <w:uiPriority w:val="1"/>
    <w:semiHidden/>
    <w:unhideWhenUsed/>
  </w:style>
  <w:style w:type="table" w:styleId="9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3" w:default="1">
    <w:name w:val="No List"/>
    <w:uiPriority w:val="99"/>
    <w:semiHidden/>
    <w:unhideWhenUsed/>
  </w:style>
  <w:style w:type="character" w:styleId="914" w:customStyle="1">
    <w:name w:val="Heading 1 Char"/>
    <w:basedOn w:val="911"/>
    <w:uiPriority w:val="9"/>
    <w:rPr>
      <w:rFonts w:ascii="Arial" w:hAnsi="Arial" w:eastAsia="Arial" w:cs="Arial"/>
      <w:sz w:val="40"/>
      <w:szCs w:val="40"/>
    </w:rPr>
  </w:style>
  <w:style w:type="character" w:styleId="915" w:customStyle="1">
    <w:name w:val="Heading 2 Char"/>
    <w:basedOn w:val="911"/>
    <w:uiPriority w:val="9"/>
    <w:rPr>
      <w:rFonts w:ascii="Arial" w:hAnsi="Arial" w:eastAsia="Arial" w:cs="Arial"/>
      <w:sz w:val="34"/>
    </w:rPr>
  </w:style>
  <w:style w:type="character" w:styleId="916" w:customStyle="1">
    <w:name w:val="Heading 3 Char"/>
    <w:basedOn w:val="911"/>
    <w:uiPriority w:val="9"/>
    <w:rPr>
      <w:rFonts w:ascii="Arial" w:hAnsi="Arial" w:eastAsia="Arial" w:cs="Arial"/>
      <w:sz w:val="30"/>
      <w:szCs w:val="30"/>
    </w:rPr>
  </w:style>
  <w:style w:type="character" w:styleId="917" w:customStyle="1">
    <w:name w:val="Heading 4 Char"/>
    <w:basedOn w:val="911"/>
    <w:uiPriority w:val="9"/>
    <w:rPr>
      <w:rFonts w:ascii="Arial" w:hAnsi="Arial" w:eastAsia="Arial" w:cs="Arial"/>
      <w:b/>
      <w:bCs/>
      <w:sz w:val="26"/>
      <w:szCs w:val="26"/>
    </w:rPr>
  </w:style>
  <w:style w:type="character" w:styleId="918" w:customStyle="1">
    <w:name w:val="Heading 5 Char"/>
    <w:basedOn w:val="911"/>
    <w:uiPriority w:val="9"/>
    <w:rPr>
      <w:rFonts w:ascii="Arial" w:hAnsi="Arial" w:eastAsia="Arial" w:cs="Arial"/>
      <w:b/>
      <w:bCs/>
      <w:sz w:val="24"/>
      <w:szCs w:val="24"/>
    </w:rPr>
  </w:style>
  <w:style w:type="character" w:styleId="919" w:customStyle="1">
    <w:name w:val="Heading 6 Char"/>
    <w:basedOn w:val="911"/>
    <w:uiPriority w:val="9"/>
    <w:rPr>
      <w:rFonts w:ascii="Arial" w:hAnsi="Arial" w:eastAsia="Arial" w:cs="Arial"/>
      <w:b/>
      <w:bCs/>
      <w:sz w:val="22"/>
      <w:szCs w:val="22"/>
    </w:rPr>
  </w:style>
  <w:style w:type="character" w:styleId="920" w:customStyle="1">
    <w:name w:val="Heading 7 Char"/>
    <w:basedOn w:val="9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21" w:customStyle="1">
    <w:name w:val="Heading 8 Char"/>
    <w:basedOn w:val="911"/>
    <w:uiPriority w:val="9"/>
    <w:rPr>
      <w:rFonts w:ascii="Arial" w:hAnsi="Arial" w:eastAsia="Arial" w:cs="Arial"/>
      <w:i/>
      <w:iCs/>
      <w:sz w:val="22"/>
      <w:szCs w:val="22"/>
    </w:rPr>
  </w:style>
  <w:style w:type="character" w:styleId="922" w:customStyle="1">
    <w:name w:val="Heading 9 Char"/>
    <w:basedOn w:val="911"/>
    <w:uiPriority w:val="9"/>
    <w:rPr>
      <w:rFonts w:ascii="Arial" w:hAnsi="Arial" w:eastAsia="Arial" w:cs="Arial"/>
      <w:i/>
      <w:iCs/>
      <w:sz w:val="21"/>
      <w:szCs w:val="21"/>
    </w:rPr>
  </w:style>
  <w:style w:type="character" w:styleId="923" w:customStyle="1">
    <w:name w:val="Title Char"/>
    <w:basedOn w:val="911"/>
    <w:uiPriority w:val="10"/>
    <w:rPr>
      <w:sz w:val="48"/>
      <w:szCs w:val="48"/>
    </w:rPr>
  </w:style>
  <w:style w:type="character" w:styleId="924" w:customStyle="1">
    <w:name w:val="Subtitle Char"/>
    <w:basedOn w:val="911"/>
    <w:uiPriority w:val="11"/>
    <w:rPr>
      <w:sz w:val="24"/>
      <w:szCs w:val="24"/>
    </w:rPr>
  </w:style>
  <w:style w:type="character" w:styleId="925" w:customStyle="1">
    <w:name w:val="Quote Char"/>
    <w:uiPriority w:val="29"/>
    <w:rPr>
      <w:i/>
    </w:rPr>
  </w:style>
  <w:style w:type="character" w:styleId="926" w:customStyle="1">
    <w:name w:val="Intense Quote Char"/>
    <w:uiPriority w:val="30"/>
    <w:rPr>
      <w:i/>
    </w:rPr>
  </w:style>
  <w:style w:type="character" w:styleId="927" w:customStyle="1">
    <w:name w:val="Footnote Text Char"/>
    <w:uiPriority w:val="99"/>
    <w:rPr>
      <w:sz w:val="18"/>
    </w:rPr>
  </w:style>
  <w:style w:type="character" w:styleId="928" w:customStyle="1">
    <w:name w:val="Заголовок 1 Знак"/>
    <w:link w:val="902"/>
    <w:uiPriority w:val="9"/>
    <w:rPr>
      <w:rFonts w:ascii="Arial" w:hAnsi="Arial" w:eastAsia="Arial" w:cs="Arial"/>
      <w:sz w:val="40"/>
      <w:szCs w:val="40"/>
    </w:rPr>
  </w:style>
  <w:style w:type="character" w:styleId="929" w:customStyle="1">
    <w:name w:val="Заголовок 2 Знак"/>
    <w:link w:val="903"/>
    <w:uiPriority w:val="9"/>
    <w:rPr>
      <w:rFonts w:ascii="Arial" w:hAnsi="Arial" w:eastAsia="Arial" w:cs="Arial"/>
      <w:sz w:val="34"/>
    </w:rPr>
  </w:style>
  <w:style w:type="character" w:styleId="930" w:customStyle="1">
    <w:name w:val="Заголовок 3 Знак"/>
    <w:link w:val="904"/>
    <w:uiPriority w:val="9"/>
    <w:rPr>
      <w:rFonts w:ascii="Arial" w:hAnsi="Arial" w:eastAsia="Arial" w:cs="Arial"/>
      <w:sz w:val="30"/>
      <w:szCs w:val="30"/>
    </w:rPr>
  </w:style>
  <w:style w:type="character" w:styleId="931" w:customStyle="1">
    <w:name w:val="Заголовок 4 Знак"/>
    <w:link w:val="905"/>
    <w:uiPriority w:val="9"/>
    <w:rPr>
      <w:rFonts w:ascii="Arial" w:hAnsi="Arial" w:eastAsia="Arial" w:cs="Arial"/>
      <w:b/>
      <w:bCs/>
      <w:sz w:val="26"/>
      <w:szCs w:val="26"/>
    </w:rPr>
  </w:style>
  <w:style w:type="character" w:styleId="932" w:customStyle="1">
    <w:name w:val="Заголовок 5 Знак"/>
    <w:link w:val="906"/>
    <w:uiPriority w:val="9"/>
    <w:rPr>
      <w:rFonts w:ascii="Arial" w:hAnsi="Arial" w:eastAsia="Arial" w:cs="Arial"/>
      <w:b/>
      <w:bCs/>
      <w:sz w:val="24"/>
      <w:szCs w:val="24"/>
    </w:rPr>
  </w:style>
  <w:style w:type="character" w:styleId="933" w:customStyle="1">
    <w:name w:val="Заголовок 6 Знак"/>
    <w:link w:val="907"/>
    <w:uiPriority w:val="9"/>
    <w:rPr>
      <w:rFonts w:ascii="Arial" w:hAnsi="Arial" w:eastAsia="Arial" w:cs="Arial"/>
      <w:b/>
      <w:bCs/>
      <w:sz w:val="22"/>
      <w:szCs w:val="22"/>
    </w:rPr>
  </w:style>
  <w:style w:type="character" w:styleId="934" w:customStyle="1">
    <w:name w:val="Заголовок 7 Знак"/>
    <w:link w:val="9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35" w:customStyle="1">
    <w:name w:val="Заголовок 8 Знак"/>
    <w:link w:val="909"/>
    <w:uiPriority w:val="9"/>
    <w:rPr>
      <w:rFonts w:ascii="Arial" w:hAnsi="Arial" w:eastAsia="Arial" w:cs="Arial"/>
      <w:i/>
      <w:iCs/>
      <w:sz w:val="22"/>
      <w:szCs w:val="22"/>
    </w:rPr>
  </w:style>
  <w:style w:type="character" w:styleId="936" w:customStyle="1">
    <w:name w:val="Заголовок 9 Знак"/>
    <w:link w:val="910"/>
    <w:uiPriority w:val="9"/>
    <w:rPr>
      <w:rFonts w:ascii="Arial" w:hAnsi="Arial" w:eastAsia="Arial" w:cs="Arial"/>
      <w:i/>
      <w:iCs/>
      <w:sz w:val="21"/>
      <w:szCs w:val="21"/>
    </w:rPr>
  </w:style>
  <w:style w:type="paragraph" w:styleId="937">
    <w:name w:val="List Paragraph"/>
    <w:basedOn w:val="901"/>
    <w:pPr>
      <w:ind w:left="708"/>
    </w:pPr>
  </w:style>
  <w:style w:type="paragraph" w:styleId="938">
    <w:name w:val="No Spacing"/>
    <w:uiPriority w:val="1"/>
    <w:qFormat/>
  </w:style>
  <w:style w:type="paragraph" w:styleId="939">
    <w:name w:val="Title"/>
    <w:link w:val="9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40" w:customStyle="1">
    <w:name w:val="Название Знак"/>
    <w:link w:val="939"/>
    <w:uiPriority w:val="10"/>
    <w:rPr>
      <w:sz w:val="48"/>
      <w:szCs w:val="48"/>
    </w:rPr>
  </w:style>
  <w:style w:type="paragraph" w:styleId="941">
    <w:name w:val="Subtitle"/>
    <w:link w:val="942"/>
    <w:uiPriority w:val="11"/>
    <w:qFormat/>
    <w:pPr>
      <w:spacing w:before="200" w:after="200"/>
    </w:pPr>
    <w:rPr>
      <w:sz w:val="24"/>
      <w:szCs w:val="24"/>
    </w:rPr>
  </w:style>
  <w:style w:type="character" w:styleId="942" w:customStyle="1">
    <w:name w:val="Подзаголовок Знак"/>
    <w:link w:val="941"/>
    <w:uiPriority w:val="11"/>
    <w:rPr>
      <w:sz w:val="24"/>
      <w:szCs w:val="24"/>
    </w:rPr>
  </w:style>
  <w:style w:type="paragraph" w:styleId="943">
    <w:name w:val="Quote"/>
    <w:link w:val="944"/>
    <w:uiPriority w:val="29"/>
    <w:qFormat/>
    <w:pPr>
      <w:ind w:left="720" w:right="720"/>
    </w:pPr>
    <w:rPr>
      <w:i/>
    </w:rPr>
  </w:style>
  <w:style w:type="character" w:styleId="944" w:customStyle="1">
    <w:name w:val="Цитата 2 Знак"/>
    <w:link w:val="943"/>
    <w:uiPriority w:val="29"/>
    <w:rPr>
      <w:i/>
    </w:rPr>
  </w:style>
  <w:style w:type="paragraph" w:styleId="945">
    <w:name w:val="Intense Quote"/>
    <w:link w:val="94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46" w:customStyle="1">
    <w:name w:val="Выделенная цитата Знак"/>
    <w:link w:val="945"/>
    <w:uiPriority w:val="30"/>
    <w:rPr>
      <w:i/>
    </w:rPr>
  </w:style>
  <w:style w:type="paragraph" w:styleId="947">
    <w:name w:val="Header"/>
    <w:basedOn w:val="901"/>
    <w:link w:val="1113"/>
    <w:pPr>
      <w:tabs>
        <w:tab w:val="center" w:pos="4153" w:leader="none"/>
        <w:tab w:val="right" w:pos="8306" w:leader="none"/>
      </w:tabs>
    </w:pPr>
    <w:rPr>
      <w:rFonts w:ascii="Times New Roman" w:hAnsi="Times New Roman"/>
      <w:lang w:val="en-US" w:eastAsia="ru-RU"/>
    </w:rPr>
  </w:style>
  <w:style w:type="character" w:styleId="948" w:customStyle="1">
    <w:name w:val="Header Char"/>
    <w:uiPriority w:val="99"/>
  </w:style>
  <w:style w:type="paragraph" w:styleId="949">
    <w:name w:val="Footer"/>
    <w:basedOn w:val="901"/>
    <w:link w:val="1138"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950" w:customStyle="1">
    <w:name w:val="Footer Char"/>
    <w:uiPriority w:val="99"/>
  </w:style>
  <w:style w:type="paragraph" w:styleId="951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52" w:customStyle="1">
    <w:name w:val="Caption Char"/>
    <w:uiPriority w:val="99"/>
  </w:style>
  <w:style w:type="table" w:styleId="953">
    <w:name w:val="Table Grid"/>
    <w:basedOn w:val="912"/>
    <w:rPr>
      <w:rFonts w:eastAsia="Times New Roma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54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55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56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57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58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60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1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2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3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4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5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6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4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82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83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84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85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86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87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88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89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90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91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92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93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94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95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96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97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98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99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00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01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02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3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4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5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6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7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8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9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6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1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1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1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2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2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2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23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4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5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6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7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8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9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0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1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2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3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4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5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6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7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38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39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40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41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42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43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44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4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4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4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4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4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5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5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8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59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60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61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62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63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64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65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66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67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68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69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70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71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72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73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74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75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76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77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78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079">
    <w:name w:val="Hyperlink"/>
    <w:rPr>
      <w:color w:val="0000ff"/>
      <w:u w:val="single"/>
    </w:rPr>
  </w:style>
  <w:style w:type="paragraph" w:styleId="1080">
    <w:name w:val="footnote text"/>
    <w:link w:val="1081"/>
    <w:uiPriority w:val="99"/>
    <w:semiHidden/>
    <w:unhideWhenUsed/>
    <w:pPr>
      <w:spacing w:after="40"/>
    </w:pPr>
    <w:rPr>
      <w:sz w:val="18"/>
    </w:rPr>
  </w:style>
  <w:style w:type="character" w:styleId="1081" w:customStyle="1">
    <w:name w:val="Текст сноски Знак"/>
    <w:link w:val="1080"/>
    <w:uiPriority w:val="99"/>
    <w:rPr>
      <w:sz w:val="18"/>
    </w:rPr>
  </w:style>
  <w:style w:type="character" w:styleId="1082">
    <w:name w:val="footnote reference"/>
    <w:uiPriority w:val="99"/>
    <w:unhideWhenUsed/>
    <w:rPr>
      <w:vertAlign w:val="superscript"/>
    </w:rPr>
  </w:style>
  <w:style w:type="paragraph" w:styleId="1083">
    <w:name w:val="endnote text"/>
    <w:basedOn w:val="901"/>
    <w:link w:val="1146"/>
    <w:semiHidden/>
    <w:rPr>
      <w:lang w:val="en-US"/>
    </w:rPr>
  </w:style>
  <w:style w:type="character" w:styleId="1084" w:customStyle="1">
    <w:name w:val="Endnote Text Char"/>
    <w:uiPriority w:val="99"/>
    <w:rPr>
      <w:sz w:val="20"/>
    </w:rPr>
  </w:style>
  <w:style w:type="character" w:styleId="1085">
    <w:name w:val="endnote reference"/>
    <w:semiHidden/>
    <w:rPr>
      <w:vertAlign w:val="superscript"/>
    </w:rPr>
  </w:style>
  <w:style w:type="paragraph" w:styleId="1086">
    <w:name w:val="toc 1"/>
    <w:uiPriority w:val="39"/>
    <w:unhideWhenUsed/>
    <w:pPr>
      <w:spacing w:after="57"/>
    </w:pPr>
  </w:style>
  <w:style w:type="paragraph" w:styleId="1087">
    <w:name w:val="toc 2"/>
    <w:uiPriority w:val="39"/>
    <w:unhideWhenUsed/>
    <w:pPr>
      <w:ind w:left="283"/>
      <w:spacing w:after="57"/>
    </w:pPr>
  </w:style>
  <w:style w:type="paragraph" w:styleId="1088">
    <w:name w:val="toc 3"/>
    <w:uiPriority w:val="39"/>
    <w:unhideWhenUsed/>
    <w:pPr>
      <w:ind w:left="567"/>
      <w:spacing w:after="57"/>
    </w:pPr>
  </w:style>
  <w:style w:type="paragraph" w:styleId="1089">
    <w:name w:val="toc 4"/>
    <w:uiPriority w:val="39"/>
    <w:unhideWhenUsed/>
    <w:pPr>
      <w:ind w:left="850"/>
      <w:spacing w:after="57"/>
    </w:pPr>
  </w:style>
  <w:style w:type="paragraph" w:styleId="1090">
    <w:name w:val="toc 5"/>
    <w:uiPriority w:val="39"/>
    <w:unhideWhenUsed/>
    <w:pPr>
      <w:ind w:left="1134"/>
      <w:spacing w:after="57"/>
    </w:pPr>
  </w:style>
  <w:style w:type="paragraph" w:styleId="1091">
    <w:name w:val="toc 6"/>
    <w:uiPriority w:val="39"/>
    <w:unhideWhenUsed/>
    <w:pPr>
      <w:ind w:left="1417"/>
      <w:spacing w:after="57"/>
    </w:pPr>
  </w:style>
  <w:style w:type="paragraph" w:styleId="1092">
    <w:name w:val="toc 7"/>
    <w:uiPriority w:val="39"/>
    <w:unhideWhenUsed/>
    <w:pPr>
      <w:ind w:left="1701"/>
      <w:spacing w:after="57"/>
    </w:pPr>
  </w:style>
  <w:style w:type="paragraph" w:styleId="1093">
    <w:name w:val="toc 8"/>
    <w:uiPriority w:val="39"/>
    <w:unhideWhenUsed/>
    <w:pPr>
      <w:ind w:left="1984"/>
      <w:spacing w:after="57"/>
    </w:pPr>
  </w:style>
  <w:style w:type="paragraph" w:styleId="1094">
    <w:name w:val="toc 9"/>
    <w:uiPriority w:val="39"/>
    <w:unhideWhenUsed/>
    <w:pPr>
      <w:ind w:left="2268"/>
      <w:spacing w:after="57"/>
    </w:pPr>
  </w:style>
  <w:style w:type="paragraph" w:styleId="1095">
    <w:name w:val="TOC Heading"/>
    <w:uiPriority w:val="39"/>
    <w:unhideWhenUsed/>
  </w:style>
  <w:style w:type="paragraph" w:styleId="1096">
    <w:name w:val="table of figures"/>
    <w:uiPriority w:val="99"/>
    <w:unhideWhenUsed/>
  </w:style>
  <w:style w:type="paragraph" w:styleId="1097" w:customStyle="1">
    <w:name w:val="Заголовок 1;_EB_1"/>
    <w:basedOn w:val="901"/>
    <w:next w:val="1128"/>
    <w:link w:val="1121"/>
    <w:pPr>
      <w:numPr>
        <w:ilvl w:val="0"/>
        <w:numId w:val="1"/>
      </w:numPr>
      <w:contextualSpacing/>
      <w:jc w:val="center"/>
      <w:keepNext/>
      <w:pageBreakBefore/>
      <w:spacing w:before="240" w:after="480"/>
      <w:outlineLvl w:val="0"/>
    </w:pPr>
    <w:rPr>
      <w:rFonts w:ascii="Times New Roman" w:hAnsi="Times New Roman"/>
      <w:b/>
      <w:caps/>
      <w:sz w:val="32"/>
      <w:szCs w:val="36"/>
      <w:lang w:val="en-US"/>
    </w:rPr>
  </w:style>
  <w:style w:type="paragraph" w:styleId="1098" w:customStyle="1">
    <w:name w:val="Заголовок 2;_EB_2"/>
    <w:basedOn w:val="1097"/>
    <w:next w:val="1128"/>
    <w:link w:val="1122"/>
    <w:pPr>
      <w:numPr>
        <w:ilvl w:val="1"/>
      </w:numPr>
      <w:jc w:val="left"/>
      <w:pageBreakBefore w:val="0"/>
      <w:spacing w:after="240"/>
      <w:tabs>
        <w:tab w:val="left" w:pos="851" w:leader="none"/>
      </w:tabs>
      <w:outlineLvl w:val="1"/>
    </w:pPr>
    <w:rPr>
      <w:bCs/>
      <w:iCs/>
      <w:caps w:val="0"/>
      <w:szCs w:val="32"/>
    </w:rPr>
  </w:style>
  <w:style w:type="paragraph" w:styleId="1099" w:customStyle="1">
    <w:name w:val="Заголовок 3;_EB_3"/>
    <w:basedOn w:val="1098"/>
    <w:next w:val="1128"/>
    <w:link w:val="1123"/>
    <w:pPr>
      <w:numPr>
        <w:ilvl w:val="2"/>
      </w:numPr>
      <w:keepLines/>
      <w:tabs>
        <w:tab w:val="clear" w:pos="851" w:leader="none"/>
      </w:tabs>
      <w:outlineLvl w:val="2"/>
    </w:pPr>
    <w:rPr>
      <w:bCs w:val="0"/>
      <w:sz w:val="28"/>
      <w:szCs w:val="26"/>
    </w:rPr>
  </w:style>
  <w:style w:type="paragraph" w:styleId="1100" w:customStyle="1">
    <w:name w:val="Заголовок 4;_EB_4"/>
    <w:basedOn w:val="1099"/>
    <w:next w:val="1128"/>
    <w:link w:val="1124"/>
    <w:pPr>
      <w:numPr>
        <w:ilvl w:val="3"/>
      </w:numPr>
      <w:outlineLvl w:val="3"/>
    </w:pPr>
    <w:rPr>
      <w:sz w:val="24"/>
    </w:rPr>
  </w:style>
  <w:style w:type="paragraph" w:styleId="1101" w:customStyle="1">
    <w:name w:val="Абзац списка1"/>
    <w:basedOn w:val="901"/>
    <w:link w:val="1106"/>
    <w:pPr>
      <w:contextualSpacing/>
      <w:ind w:left="720"/>
    </w:pPr>
  </w:style>
  <w:style w:type="character" w:styleId="1102" w:customStyle="1">
    <w:name w:val="Нижний колонтитул Знак;f Знак"/>
    <w:rPr>
      <w:rFonts w:ascii="Times New Roman" w:hAnsi="Times New Roman"/>
      <w:sz w:val="20"/>
      <w:szCs w:val="20"/>
    </w:rPr>
  </w:style>
  <w:style w:type="paragraph" w:styleId="1103">
    <w:name w:val="Balloon Text"/>
    <w:basedOn w:val="901"/>
    <w:link w:val="1105"/>
    <w:semiHidden/>
    <w:rPr>
      <w:rFonts w:ascii="Tahoma" w:hAnsi="Tahoma"/>
      <w:sz w:val="16"/>
      <w:lang w:val="en-US" w:eastAsia="en-US"/>
    </w:rPr>
  </w:style>
  <w:style w:type="paragraph" w:styleId="1104" w:customStyle="1">
    <w:name w:val="ConsPlusCell"/>
    <w:rPr>
      <w:rFonts w:ascii="Times New Roman" w:hAnsi="Times New Roman" w:eastAsia="Times New Roman"/>
      <w:sz w:val="24"/>
      <w:szCs w:val="24"/>
      <w:lang w:eastAsia="en-US"/>
    </w:rPr>
  </w:style>
  <w:style w:type="character" w:styleId="1105" w:customStyle="1">
    <w:name w:val="Текст выноски Знак"/>
    <w:link w:val="1103"/>
    <w:semiHidden/>
    <w:rPr>
      <w:rFonts w:ascii="Tahoma" w:hAnsi="Tahoma"/>
      <w:sz w:val="16"/>
    </w:rPr>
  </w:style>
  <w:style w:type="character" w:styleId="1106" w:customStyle="1">
    <w:name w:val="List Paragraph Char"/>
    <w:link w:val="1101"/>
  </w:style>
  <w:style w:type="character" w:styleId="1107" w:customStyle="1">
    <w:name w:val="Знак сноски;Ссылка на сноску 45"/>
    <w:rPr>
      <w:vertAlign w:val="superscript"/>
    </w:rPr>
  </w:style>
  <w:style w:type="paragraph" w:styleId="1108" w:customStyle="1">
    <w:name w:val="Текст сноски;Footnote Text Char Знак Знак;Footnote Text Char Знак;Footnote Text Char Знак Знак Знак Знак;Знак2;Footnote Text Char Знак Знак Знак Знак Char Char;Знак1 Знак;Текст сноски Знак Знак;Текст сноски Знак Знак Знак;Знак1 Знак Знак1 Знак Зн"/>
    <w:basedOn w:val="901"/>
    <w:link w:val="1110"/>
    <w:rPr>
      <w:lang w:val="en-US" w:eastAsia="en-US"/>
    </w:rPr>
  </w:style>
  <w:style w:type="character" w:styleId="1109" w:customStyle="1">
    <w:name w:val="Текст сноски Знак;Footnote Text Char Знак Знак Знак;Footnote Text Char Знак Знак1;Footnote Text Char Знак Знак Знак Знак Знак;Знак2 Знак;Footnote Text Char Знак Знак Знак Знак Char Char Знак;Знак1 Знак Знак;Текст сноски Знак Знак Знак1"/>
    <w:rPr>
      <w:sz w:val="20"/>
    </w:rPr>
  </w:style>
  <w:style w:type="character" w:styleId="1110" w:customStyle="1">
    <w:name w:val="Текст сноски Знак1"/>
    <w:link w:val="1108"/>
    <w:rPr>
      <w:rFonts w:ascii="Calibri" w:hAnsi="Calibri"/>
      <w:sz w:val="20"/>
    </w:rPr>
  </w:style>
  <w:style w:type="paragraph" w:styleId="1111" w:customStyle="1">
    <w:name w:val="ConsPlusNonformat"/>
    <w:pPr>
      <w:widowControl w:val="off"/>
    </w:pPr>
    <w:rPr>
      <w:rFonts w:ascii="Courier New" w:hAnsi="Courier New"/>
      <w:lang w:eastAsia="ru-RU"/>
    </w:rPr>
  </w:style>
  <w:style w:type="paragraph" w:styleId="1112" w:customStyle="1">
    <w:name w:val="Colorful List - Accent 11"/>
    <w:basedOn w:val="901"/>
    <w:pPr>
      <w:contextualSpacing/>
      <w:ind w:left="720"/>
      <w:spacing w:after="200" w:line="276" w:lineRule="auto"/>
    </w:pPr>
  </w:style>
  <w:style w:type="character" w:styleId="1113" w:customStyle="1">
    <w:name w:val="Верхний колонтитул Знак"/>
    <w:link w:val="947"/>
    <w:rPr>
      <w:rFonts w:ascii="Times New Roman" w:hAnsi="Times New Roman"/>
      <w:sz w:val="20"/>
      <w:lang w:eastAsia="ru-RU"/>
    </w:rPr>
  </w:style>
  <w:style w:type="character" w:styleId="1114">
    <w:name w:val="annotation reference"/>
    <w:rPr>
      <w:sz w:val="16"/>
      <w:szCs w:val="16"/>
    </w:rPr>
  </w:style>
  <w:style w:type="paragraph" w:styleId="1115">
    <w:name w:val="annotation text"/>
    <w:basedOn w:val="901"/>
    <w:link w:val="1117"/>
    <w:rPr>
      <w:lang w:val="en-US"/>
    </w:rPr>
  </w:style>
  <w:style w:type="paragraph" w:styleId="1116">
    <w:name w:val="annotation subject"/>
    <w:basedOn w:val="1115"/>
    <w:next w:val="1115"/>
    <w:link w:val="1119"/>
    <w:rPr>
      <w:b/>
      <w:bCs/>
    </w:rPr>
  </w:style>
  <w:style w:type="character" w:styleId="1117" w:customStyle="1">
    <w:name w:val="Текст примечания Знак"/>
    <w:link w:val="1115"/>
    <w:rPr>
      <w:rFonts w:eastAsia="Times New Roman"/>
      <w:lang w:eastAsia="en-US"/>
    </w:rPr>
  </w:style>
  <w:style w:type="paragraph" w:styleId="1118" w:customStyle="1">
    <w:name w:val="Colorful Shading - Accent 11"/>
    <w:hidden/>
    <w:semiHidden/>
    <w:rPr>
      <w:rFonts w:eastAsia="Times New Roman"/>
      <w:sz w:val="22"/>
      <w:szCs w:val="22"/>
      <w:lang w:eastAsia="en-US"/>
    </w:rPr>
  </w:style>
  <w:style w:type="character" w:styleId="1119" w:customStyle="1">
    <w:name w:val="Тема примечания Знак"/>
    <w:link w:val="1116"/>
    <w:rPr>
      <w:rFonts w:eastAsia="Times New Roman"/>
      <w:b/>
      <w:bCs/>
      <w:lang w:eastAsia="en-US"/>
    </w:rPr>
  </w:style>
  <w:style w:type="paragraph" w:styleId="1120" w:customStyle="1">
    <w:name w:val="ConsPlusNormal"/>
    <w:pPr>
      <w:widowControl w:val="off"/>
    </w:pPr>
    <w:rPr>
      <w:rFonts w:ascii="Arial" w:hAnsi="Arial" w:eastAsia="Times New Roman"/>
      <w:lang w:eastAsia="ru-RU"/>
    </w:rPr>
  </w:style>
  <w:style w:type="character" w:styleId="1121" w:customStyle="1">
    <w:name w:val="Заголовок 1 Знак;_EB_1 Знак"/>
    <w:link w:val="1097"/>
    <w:rPr>
      <w:rFonts w:ascii="Times New Roman" w:hAnsi="Times New Roman" w:eastAsia="Times New Roman"/>
      <w:b/>
      <w:caps/>
      <w:sz w:val="32"/>
      <w:szCs w:val="36"/>
      <w:lang w:val="en-US" w:eastAsia="en-US"/>
    </w:rPr>
  </w:style>
  <w:style w:type="character" w:styleId="1122" w:customStyle="1">
    <w:name w:val="Заголовок 2 Знак;_EB_2 Знак"/>
    <w:link w:val="1098"/>
    <w:rPr>
      <w:rFonts w:ascii="Times New Roman" w:hAnsi="Times New Roman" w:eastAsia="Times New Roman"/>
      <w:b/>
      <w:bCs/>
      <w:iCs/>
      <w:sz w:val="32"/>
      <w:szCs w:val="32"/>
      <w:lang w:val="en-US" w:eastAsia="en-US"/>
    </w:rPr>
  </w:style>
  <w:style w:type="character" w:styleId="1123" w:customStyle="1">
    <w:name w:val="Заголовок 3 Знак;_EB_3 Знак"/>
    <w:link w:val="1099"/>
    <w:rPr>
      <w:rFonts w:ascii="Times New Roman" w:hAnsi="Times New Roman" w:eastAsia="Times New Roman"/>
      <w:b/>
      <w:iCs/>
      <w:sz w:val="28"/>
      <w:szCs w:val="26"/>
      <w:lang w:val="en-US" w:eastAsia="en-US"/>
    </w:rPr>
  </w:style>
  <w:style w:type="character" w:styleId="1124" w:customStyle="1">
    <w:name w:val="Заголовок 4 Знак;_EB_4 Знак"/>
    <w:link w:val="1100"/>
    <w:rPr>
      <w:rFonts w:ascii="Times New Roman" w:hAnsi="Times New Roman" w:eastAsia="Times New Roman"/>
      <w:b/>
      <w:iCs/>
      <w:sz w:val="24"/>
      <w:szCs w:val="26"/>
      <w:lang w:val="en-US" w:eastAsia="en-US"/>
    </w:rPr>
  </w:style>
  <w:style w:type="character" w:styleId="1125" w:customStyle="1">
    <w:name w:val="_Текст+абзац Знак"/>
    <w:link w:val="1126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styleId="1126" w:customStyle="1">
    <w:name w:val="_Текст+абзац"/>
    <w:link w:val="1125"/>
    <w:pPr>
      <w:ind w:firstLine="567"/>
      <w:jc w:val="both"/>
      <w:spacing w:line="360" w:lineRule="auto"/>
    </w:pPr>
    <w:rPr>
      <w:rFonts w:ascii="Times New Roman" w:hAnsi="Times New Roman"/>
      <w:spacing w:val="-2"/>
      <w:sz w:val="28"/>
      <w:szCs w:val="22"/>
      <w:lang w:eastAsia="en-US"/>
    </w:rPr>
  </w:style>
  <w:style w:type="character" w:styleId="1127" w:customStyle="1">
    <w:name w:val="_EB_Normal Знак"/>
    <w:link w:val="1128"/>
    <w:rPr>
      <w:sz w:val="24"/>
      <w:szCs w:val="22"/>
      <w:lang w:val="ru-RU" w:eastAsia="ru-RU" w:bidi="ar-SA"/>
    </w:rPr>
  </w:style>
  <w:style w:type="paragraph" w:styleId="1128" w:customStyle="1">
    <w:name w:val="_EB_Normal"/>
    <w:link w:val="1127"/>
    <w:pPr>
      <w:contextualSpacing/>
      <w:ind w:firstLine="567"/>
      <w:jc w:val="both"/>
      <w:spacing w:before="120" w:after="60"/>
    </w:pPr>
    <w:rPr>
      <w:sz w:val="24"/>
      <w:szCs w:val="22"/>
      <w:lang w:eastAsia="ru-RU"/>
    </w:rPr>
  </w:style>
  <w:style w:type="paragraph" w:styleId="1129" w:customStyle="1">
    <w:name w:val="_EB_Sign"/>
    <w:basedOn w:val="901"/>
    <w:pPr>
      <w:contextualSpacing/>
      <w:jc w:val="center"/>
      <w:keepNext/>
      <w:spacing w:before="120" w:after="120"/>
    </w:pPr>
    <w:rPr>
      <w:rFonts w:ascii="Times New Roman" w:hAnsi="Times New Roman"/>
      <w:b/>
      <w:sz w:val="28"/>
      <w:lang w:eastAsia="ru-RU"/>
    </w:rPr>
  </w:style>
  <w:style w:type="paragraph" w:styleId="1130">
    <w:name w:val="Body Text Indent 3"/>
    <w:basedOn w:val="901"/>
    <w:link w:val="1131"/>
    <w:semiHidden/>
    <w:pPr>
      <w:ind w:left="283" w:firstLine="567"/>
      <w:jc w:val="both"/>
      <w:spacing w:after="120"/>
    </w:pPr>
    <w:rPr>
      <w:rFonts w:ascii="Times New Roman" w:hAnsi="Times New Roman"/>
      <w:sz w:val="16"/>
      <w:lang w:val="en-US" w:eastAsia="en-US"/>
    </w:rPr>
  </w:style>
  <w:style w:type="character" w:styleId="1131" w:customStyle="1">
    <w:name w:val="Основной текст с отступом 3 Знак"/>
    <w:link w:val="1130"/>
    <w:semiHidden/>
    <w:rPr>
      <w:rFonts w:ascii="Times New Roman" w:hAnsi="Times New Roman" w:eastAsia="Times New Roman"/>
      <w:sz w:val="16"/>
      <w:szCs w:val="20"/>
      <w:lang w:val="en-US" w:eastAsia="en-US"/>
    </w:rPr>
  </w:style>
  <w:style w:type="paragraph" w:styleId="1132" w:customStyle="1">
    <w:name w:val="Основной текст;body text table;Body Text Table;contents;bt;Body 3;Corps de texte;heading_txt;bodytxy2;Body Text - Level 2;??2;Platte tekst;body tesx;t;text;sp;Resume Text;Цитата1;heading3;body text1;body text2;bt1;body text3"/>
    <w:basedOn w:val="901"/>
    <w:link w:val="1133"/>
    <w:semiHidden/>
    <w:pPr>
      <w:ind w:firstLine="567"/>
      <w:jc w:val="both"/>
      <w:spacing w:after="240"/>
    </w:pPr>
    <w:rPr>
      <w:rFonts w:ascii="Times New Roman" w:hAnsi="Times New Roman"/>
      <w:lang w:val="en-US" w:eastAsia="en-US"/>
    </w:rPr>
  </w:style>
  <w:style w:type="character" w:styleId="1133" w:customStyle="1">
    <w:name w:val="Основной текст Знак;body text table Знак;Body Text Table Знак;contents Знак;bt Знак;Body 3 Знак;Corps de texte Знак;heading_txt Знак;bodytxy2 Знак;Body Text - Level 2 Знак;??2 Знак;Platte tekst Знак;body tesx Знак;t Знак;text Знак;sp Знак;Цитата1 Знак"/>
    <w:link w:val="1132"/>
    <w:semiHidden/>
    <w:rPr>
      <w:rFonts w:ascii="Times New Roman" w:hAnsi="Times New Roman" w:eastAsia="Times New Roman"/>
      <w:sz w:val="20"/>
      <w:szCs w:val="20"/>
      <w:lang w:val="en-US" w:eastAsia="en-US"/>
    </w:rPr>
  </w:style>
  <w:style w:type="numbering" w:styleId="1134">
    <w:name w:val="Outline List 1"/>
    <w:basedOn w:val="913"/>
  </w:style>
  <w:style w:type="paragraph" w:styleId="1135" w:customStyle="1">
    <w:name w:val="Iau?iue"/>
    <w:rPr>
      <w:rFonts w:ascii="Times New Roman" w:hAnsi="Times New Roman" w:eastAsia="Times New Roman"/>
      <w:lang w:eastAsia="ru-RU"/>
    </w:rPr>
  </w:style>
  <w:style w:type="paragraph" w:styleId="1136" w:customStyle="1">
    <w:name w:val="Iau?iue1"/>
    <w:pPr>
      <w:widowControl w:val="off"/>
    </w:pPr>
    <w:rPr>
      <w:rFonts w:ascii="Times New Roman" w:hAnsi="Times New Roman" w:eastAsia="Times New Roman"/>
      <w:lang w:eastAsia="ru-RU"/>
    </w:rPr>
  </w:style>
  <w:style w:type="paragraph" w:styleId="1137" w:customStyle="1">
    <w:name w:val="Iniiaiie oaeno 2"/>
    <w:basedOn w:val="1135"/>
    <w:pPr>
      <w:ind w:firstLine="709"/>
      <w:jc w:val="both"/>
      <w:spacing w:after="120"/>
    </w:pPr>
    <w:rPr>
      <w:sz w:val="24"/>
    </w:rPr>
  </w:style>
  <w:style w:type="character" w:styleId="1138" w:customStyle="1">
    <w:name w:val="Нижний колонтитул Знак"/>
    <w:link w:val="949"/>
    <w:rPr>
      <w:rFonts w:eastAsia="Times New Roman"/>
      <w:sz w:val="22"/>
      <w:szCs w:val="22"/>
      <w:lang w:eastAsia="en-US"/>
    </w:rPr>
  </w:style>
  <w:style w:type="paragraph" w:styleId="1139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1140">
    <w:name w:val="Normal (Web)"/>
    <w:basedOn w:val="90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1141" w:customStyle="1">
    <w:name w:val="Заг_Приложение"/>
    <w:basedOn w:val="1097"/>
    <w:next w:val="1128"/>
    <w:pPr>
      <w:numPr>
        <w:ilvl w:val="0"/>
        <w:numId w:val="3"/>
      </w:numPr>
      <w:ind w:left="0" w:firstLine="0"/>
    </w:pPr>
    <w:rPr>
      <w:lang w:eastAsia="en-US"/>
    </w:rPr>
  </w:style>
  <w:style w:type="paragraph" w:styleId="1142">
    <w:name w:val="Document Map"/>
    <w:basedOn w:val="901"/>
    <w:link w:val="1143"/>
    <w:semiHidden/>
    <w:rPr>
      <w:rFonts w:ascii="Tahoma" w:hAnsi="Tahoma"/>
      <w:sz w:val="16"/>
      <w:szCs w:val="16"/>
      <w:lang w:val="en-US"/>
    </w:rPr>
  </w:style>
  <w:style w:type="character" w:styleId="1143" w:customStyle="1">
    <w:name w:val="Схема документа Знак"/>
    <w:link w:val="1142"/>
    <w:semiHidden/>
    <w:rPr>
      <w:rFonts w:ascii="Tahoma" w:hAnsi="Tahoma" w:eastAsia="Times New Roman"/>
      <w:sz w:val="16"/>
      <w:szCs w:val="16"/>
      <w:lang w:eastAsia="en-US"/>
    </w:rPr>
  </w:style>
  <w:style w:type="paragraph" w:styleId="1144" w:customStyle="1">
    <w:name w:val="_GOST_Table_norm"/>
    <w:link w:val="1145"/>
    <w:pPr>
      <w:ind w:left="57" w:right="57"/>
      <w:jc w:val="both"/>
    </w:pPr>
    <w:rPr>
      <w:rFonts w:ascii="Times New Roman" w:hAnsi="Times New Roman" w:eastAsia="Times New Roman"/>
      <w:sz w:val="22"/>
      <w:lang w:eastAsia="ru-RU"/>
    </w:rPr>
  </w:style>
  <w:style w:type="character" w:styleId="1145" w:customStyle="1">
    <w:name w:val="_GOST_Table_norm Знак"/>
    <w:link w:val="1144"/>
    <w:rPr>
      <w:rFonts w:ascii="Times New Roman" w:hAnsi="Times New Roman" w:eastAsia="Times New Roman"/>
      <w:sz w:val="22"/>
      <w:lang w:bidi="ar-SA"/>
    </w:rPr>
  </w:style>
  <w:style w:type="character" w:styleId="1146" w:customStyle="1">
    <w:name w:val="Текст концевой сноски Знак"/>
    <w:link w:val="1083"/>
    <w:semiHidden/>
    <w:rPr>
      <w:rFonts w:eastAsia="Times New Roman"/>
      <w:lang w:eastAsia="en-US"/>
    </w:rPr>
  </w:style>
  <w:style w:type="paragraph" w:styleId="1147" w:customStyle="1">
    <w:name w:val="__LANIT_Приложение"/>
    <w:basedOn w:val="1097"/>
    <w:pPr>
      <w:contextualSpacing w:val="0"/>
      <w:ind w:firstLine="0"/>
      <w:jc w:val="both"/>
      <w:keepLines/>
      <w:pageBreakBefore w:val="0"/>
      <w:spacing w:after="120" w:line="360" w:lineRule="auto"/>
      <w:tabs>
        <w:tab w:val="clear" w:pos="567" w:leader="none"/>
      </w:tabs>
    </w:pPr>
    <w:rPr>
      <w:bCs/>
      <w:caps w:val="0"/>
      <w:sz w:val="36"/>
      <w:szCs w:val="28"/>
      <w:lang w:val="ru-RU"/>
    </w:rPr>
  </w:style>
  <w:style w:type="character" w:styleId="1148" w:customStyle="1">
    <w:name w:val="Char Style 13"/>
    <w:link w:val="1149"/>
    <w:rPr>
      <w:sz w:val="26"/>
      <w:szCs w:val="26"/>
      <w:shd w:val="clear" w:color="auto" w:fill="ffffff"/>
    </w:rPr>
  </w:style>
  <w:style w:type="paragraph" w:styleId="1149" w:customStyle="1">
    <w:name w:val="Style 12"/>
    <w:basedOn w:val="901"/>
    <w:link w:val="1148"/>
    <w:pPr>
      <w:jc w:val="center"/>
      <w:spacing w:after="180" w:line="367" w:lineRule="exact"/>
      <w:shd w:val="clear" w:color="auto" w:fill="ffffff"/>
      <w:widowControl w:val="off"/>
    </w:pPr>
    <w:rPr>
      <w:sz w:val="26"/>
      <w:szCs w:val="26"/>
      <w:lang w:val="en-US" w:eastAsia="en-US"/>
    </w:rPr>
  </w:style>
  <w:style w:type="character" w:styleId="1150" w:customStyle="1">
    <w:name w:val="Char Style 18"/>
    <w:rPr>
      <w:b/>
      <w:bCs/>
      <w:sz w:val="19"/>
      <w:szCs w:val="19"/>
      <w:shd w:val="clear" w:color="auto" w:fill="ffffff"/>
    </w:rPr>
  </w:style>
  <w:style w:type="paragraph" w:styleId="1151" w:customStyle="1">
    <w:name w:val="ГС_Заголовок_1"/>
    <w:next w:val="901"/>
    <w:pPr>
      <w:numPr>
        <w:ilvl w:val="0"/>
        <w:numId w:val="4"/>
      </w:numPr>
      <w:jc w:val="both"/>
      <w:spacing w:before="360" w:line="360" w:lineRule="auto"/>
      <w:widowControl w:val="off"/>
      <w:outlineLvl w:val="0"/>
    </w:pPr>
    <w:rPr>
      <w:rFonts w:ascii="Times New Roman" w:hAnsi="Times New Roman"/>
      <w:b/>
      <w:sz w:val="24"/>
      <w:szCs w:val="24"/>
      <w:lang w:eastAsia="ru-RU"/>
    </w:rPr>
  </w:style>
  <w:style w:type="paragraph" w:styleId="1152" w:customStyle="1">
    <w:name w:val="ГС_Заголовок_2"/>
    <w:next w:val="901"/>
    <w:pPr>
      <w:numPr>
        <w:ilvl w:val="1"/>
        <w:numId w:val="4"/>
      </w:numPr>
      <w:jc w:val="both"/>
      <w:keepNext/>
      <w:spacing w:before="240" w:after="120"/>
      <w:outlineLvl w:val="1"/>
    </w:pPr>
    <w:rPr>
      <w:rFonts w:ascii="Times New Roman" w:hAnsi="Times New Roman" w:eastAsia="Times New Roman"/>
      <w:b/>
      <w:sz w:val="24"/>
      <w:szCs w:val="24"/>
      <w:lang w:eastAsia="ru-RU"/>
    </w:rPr>
  </w:style>
  <w:style w:type="paragraph" w:styleId="1153" w:customStyle="1">
    <w:name w:val="ГС_Заголовок_3"/>
    <w:next w:val="901"/>
    <w:pPr>
      <w:numPr>
        <w:ilvl w:val="2"/>
        <w:numId w:val="4"/>
      </w:numPr>
      <w:spacing w:line="360" w:lineRule="auto"/>
      <w:widowControl w:val="off"/>
      <w:tabs>
        <w:tab w:val="left" w:pos="1985" w:leader="none"/>
      </w:tabs>
      <w:outlineLvl w:val="2"/>
    </w:pPr>
    <w:rPr>
      <w:rFonts w:ascii="Times New Roman" w:hAnsi="Times New Roman" w:eastAsia="Times New Roman"/>
      <w:b/>
      <w:sz w:val="24"/>
      <w:szCs w:val="24"/>
      <w:lang w:eastAsia="ru-RU"/>
    </w:rPr>
  </w:style>
  <w:style w:type="paragraph" w:styleId="1154" w:customStyle="1">
    <w:name w:val="Заголовок_4"/>
    <w:basedOn w:val="1100"/>
    <w:pPr>
      <w:numPr>
        <w:ilvl w:val="4"/>
        <w:numId w:val="4"/>
      </w:numPr>
      <w:contextualSpacing w:val="0"/>
      <w:jc w:val="both"/>
      <w:keepLines w:val="0"/>
      <w:keepNext w:val="0"/>
      <w:spacing w:before="0" w:after="0" w:line="360" w:lineRule="auto"/>
      <w:widowControl w:val="off"/>
    </w:pPr>
    <w:rPr>
      <w:bCs/>
      <w:i/>
      <w:iCs w:val="0"/>
      <w:szCs w:val="24"/>
      <w:lang w:val="ru-RU" w:eastAsia="ru-RU"/>
    </w:rPr>
  </w:style>
  <w:style w:type="character" w:styleId="1155" w:customStyle="1">
    <w:name w:val="Char Style 17"/>
    <w:link w:val="1156"/>
    <w:rPr>
      <w:b/>
      <w:bCs/>
      <w:sz w:val="19"/>
      <w:szCs w:val="19"/>
      <w:shd w:val="clear" w:color="auto" w:fill="ffffff"/>
    </w:rPr>
  </w:style>
  <w:style w:type="paragraph" w:styleId="1156" w:customStyle="1">
    <w:name w:val="Style 16"/>
    <w:basedOn w:val="901"/>
    <w:link w:val="1155"/>
    <w:pPr>
      <w:jc w:val="center"/>
      <w:spacing w:line="253" w:lineRule="exact"/>
      <w:shd w:val="clear" w:color="auto" w:fill="ffffff"/>
      <w:widowControl w:val="off"/>
    </w:pPr>
    <w:rPr>
      <w:b/>
      <w:bCs/>
      <w:sz w:val="19"/>
      <w:szCs w:val="19"/>
      <w:lang w:val="en-US" w:eastAsia="en-US"/>
    </w:rPr>
  </w:style>
  <w:style w:type="paragraph" w:styleId="1157" w:customStyle="1">
    <w:name w:val="__LANIT_сН1."/>
    <w:basedOn w:val="901"/>
    <w:pPr>
      <w:numPr>
        <w:ilvl w:val="0"/>
        <w:numId w:val="5"/>
      </w:numPr>
      <w:ind w:left="0" w:firstLine="360"/>
      <w:jc w:val="both"/>
      <w:spacing w:before="60" w:after="60" w:line="276" w:lineRule="auto"/>
      <w:outlineLvl w:val="5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1158">
    <w:name w:val="Revision"/>
    <w:hidden/>
    <w:semiHidden/>
    <w:rPr>
      <w:rFonts w:eastAsia="Times New Roman"/>
      <w:sz w:val="22"/>
      <w:szCs w:val="22"/>
      <w:lang w:eastAsia="en-US"/>
    </w:rPr>
  </w:style>
  <w:style w:type="character" w:styleId="1159">
    <w:name w:val="Strong"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Нефёдов Олег Владимирович</dc:creator>
  <cp:revision>4</cp:revision>
  <dcterms:created xsi:type="dcterms:W3CDTF">2023-06-21T09:36:00Z</dcterms:created>
  <dcterms:modified xsi:type="dcterms:W3CDTF">2024-04-23T06:50:56Z</dcterms:modified>
</cp:coreProperties>
</file>